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E" w:rsidRPr="00065100" w:rsidRDefault="00B30DF0" w:rsidP="00B30DF0">
      <w:pPr>
        <w:tabs>
          <w:tab w:val="left" w:pos="142"/>
          <w:tab w:val="left" w:pos="8016"/>
          <w:tab w:val="left" w:pos="8791"/>
          <w:tab w:val="left" w:pos="8874"/>
        </w:tabs>
        <w:rPr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-109855</wp:posOffset>
            </wp:positionV>
            <wp:extent cx="631190" cy="529590"/>
            <wp:effectExtent l="0" t="0" r="0" b="3810"/>
            <wp:wrapThrough wrapText="bothSides">
              <wp:wrapPolygon edited="0">
                <wp:start x="0" y="0"/>
                <wp:lineTo x="0" y="20978"/>
                <wp:lineTo x="20861" y="20978"/>
                <wp:lineTo x="20861" y="0"/>
                <wp:lineTo x="0" y="0"/>
              </wp:wrapPolygon>
            </wp:wrapThrough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1891030" cy="419735"/>
            <wp:effectExtent l="0" t="0" r="0" b="0"/>
            <wp:docPr id="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43" b="-16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0C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710CC">
        <w:rPr>
          <w:bCs/>
          <w:sz w:val="18"/>
          <w:szCs w:val="18"/>
        </w:rPr>
        <w:tab/>
      </w:r>
    </w:p>
    <w:p w:rsidR="00B30DF0" w:rsidRDefault="00AF75C0" w:rsidP="00B30DF0">
      <w:pPr>
        <w:pStyle w:val="Ttulo1"/>
        <w:rPr>
          <w:bCs/>
          <w:sz w:val="18"/>
          <w:szCs w:val="18"/>
        </w:rPr>
      </w:pPr>
      <w:r w:rsidRPr="001D5415">
        <w:rPr>
          <w:bCs/>
          <w:sz w:val="18"/>
          <w:szCs w:val="18"/>
        </w:rPr>
        <w:t>CONVOCATORIA</w:t>
      </w:r>
    </w:p>
    <w:p w:rsidR="00AF75C0" w:rsidRPr="001D5415" w:rsidRDefault="006F2F9E" w:rsidP="00B30DF0">
      <w:pPr>
        <w:pStyle w:val="Ttulo1"/>
        <w:rPr>
          <w:sz w:val="18"/>
          <w:szCs w:val="18"/>
        </w:rPr>
      </w:pPr>
      <w:r>
        <w:rPr>
          <w:sz w:val="18"/>
          <w:szCs w:val="18"/>
        </w:rPr>
        <w:t>L</w:t>
      </w:r>
      <w:r w:rsidR="00230786">
        <w:rPr>
          <w:sz w:val="18"/>
          <w:szCs w:val="18"/>
        </w:rPr>
        <w:t>I</w:t>
      </w:r>
      <w:r w:rsidR="00CE77E4" w:rsidRPr="001D5415">
        <w:rPr>
          <w:sz w:val="18"/>
          <w:szCs w:val="18"/>
        </w:rPr>
        <w:t>CITACIÓN</w:t>
      </w:r>
      <w:r w:rsidR="00AF75C0" w:rsidRPr="001D5415">
        <w:rPr>
          <w:sz w:val="18"/>
          <w:szCs w:val="18"/>
        </w:rPr>
        <w:t xml:space="preserve"> P</w:t>
      </w:r>
      <w:r w:rsidR="00CE77E4" w:rsidRPr="001D5415">
        <w:rPr>
          <w:sz w:val="18"/>
          <w:szCs w:val="18"/>
        </w:rPr>
        <w:t>Ú</w:t>
      </w:r>
      <w:r w:rsidR="00AF75C0" w:rsidRPr="001D5415">
        <w:rPr>
          <w:sz w:val="18"/>
          <w:szCs w:val="18"/>
        </w:rPr>
        <w:t xml:space="preserve">BLICA </w:t>
      </w:r>
      <w:r w:rsidR="008B7B11">
        <w:rPr>
          <w:sz w:val="18"/>
          <w:szCs w:val="18"/>
        </w:rPr>
        <w:t xml:space="preserve">PRESENCIAL </w:t>
      </w:r>
      <w:r w:rsidR="000C5E4A" w:rsidRPr="001D5415">
        <w:rPr>
          <w:sz w:val="18"/>
          <w:szCs w:val="18"/>
        </w:rPr>
        <w:t>PCE- LP</w:t>
      </w:r>
      <w:r w:rsidR="00881F88">
        <w:rPr>
          <w:sz w:val="18"/>
          <w:szCs w:val="18"/>
        </w:rPr>
        <w:t>P</w:t>
      </w:r>
      <w:r w:rsidR="000C5E4A" w:rsidRPr="001D5415">
        <w:rPr>
          <w:sz w:val="18"/>
          <w:szCs w:val="18"/>
        </w:rPr>
        <w:t>-</w:t>
      </w:r>
      <w:r w:rsidR="008E76F2">
        <w:rPr>
          <w:sz w:val="18"/>
          <w:szCs w:val="18"/>
        </w:rPr>
        <w:t>010</w:t>
      </w:r>
      <w:r w:rsidR="00647BD3">
        <w:rPr>
          <w:sz w:val="18"/>
          <w:szCs w:val="18"/>
        </w:rPr>
        <w:t>-</w:t>
      </w:r>
      <w:r w:rsidR="00647BD3" w:rsidRPr="000F5278">
        <w:rPr>
          <w:sz w:val="18"/>
          <w:szCs w:val="18"/>
        </w:rPr>
        <w:t>201</w:t>
      </w:r>
      <w:r w:rsidR="0089570F">
        <w:rPr>
          <w:sz w:val="18"/>
          <w:szCs w:val="18"/>
        </w:rPr>
        <w:t>9</w:t>
      </w:r>
      <w:r w:rsidR="008B7B11">
        <w:rPr>
          <w:sz w:val="18"/>
          <w:szCs w:val="18"/>
        </w:rPr>
        <w:t xml:space="preserve"> BIS</w:t>
      </w:r>
      <w:r w:rsidR="00E232A8">
        <w:rPr>
          <w:sz w:val="18"/>
          <w:szCs w:val="18"/>
        </w:rPr>
        <w:t xml:space="preserve"> </w:t>
      </w:r>
    </w:p>
    <w:p w:rsidR="00473E8B" w:rsidRPr="001D5415" w:rsidRDefault="00473E8B" w:rsidP="00473E8B">
      <w:pPr>
        <w:rPr>
          <w:sz w:val="18"/>
          <w:szCs w:val="18"/>
        </w:rPr>
      </w:pPr>
    </w:p>
    <w:p w:rsidR="000C5E4A" w:rsidRPr="00F927FB" w:rsidRDefault="000C5E4A" w:rsidP="000C5E4A">
      <w:pPr>
        <w:pStyle w:val="Textoindependiente"/>
        <w:ind w:right="14"/>
        <w:rPr>
          <w:b/>
          <w:sz w:val="16"/>
          <w:szCs w:val="16"/>
        </w:rPr>
      </w:pPr>
      <w:r w:rsidRPr="00F927FB">
        <w:rPr>
          <w:b/>
          <w:sz w:val="16"/>
          <w:szCs w:val="16"/>
        </w:rPr>
        <w:t xml:space="preserve">PENSIONES CIVILES DEL ESTADO DE CHIHUAHUA, </w:t>
      </w:r>
      <w:r w:rsidR="00151259">
        <w:rPr>
          <w:b/>
          <w:sz w:val="16"/>
          <w:szCs w:val="16"/>
        </w:rPr>
        <w:t xml:space="preserve">POR CONDUCTO DEL COMITÉ DE ADQUISICIONES, ARRENDAMIENTOS Y SERVICIOS </w:t>
      </w:r>
      <w:r w:rsidRPr="00F927FB">
        <w:rPr>
          <w:b/>
          <w:sz w:val="16"/>
          <w:szCs w:val="16"/>
        </w:rPr>
        <w:t xml:space="preserve">EN CUMPLIMIENTO A LAS DISPOSICIONES CONTENIDAS </w:t>
      </w:r>
      <w:r w:rsidR="00E5450E" w:rsidRPr="00F927FB">
        <w:rPr>
          <w:b/>
          <w:bCs/>
          <w:sz w:val="16"/>
          <w:szCs w:val="16"/>
        </w:rPr>
        <w:t xml:space="preserve">EN </w:t>
      </w:r>
      <w:r w:rsidR="00881F88">
        <w:rPr>
          <w:b/>
          <w:bCs/>
          <w:sz w:val="16"/>
          <w:szCs w:val="16"/>
        </w:rPr>
        <w:t xml:space="preserve">EL ARTÍCULO 134 DE LA CONSTITUCIÓN POLÍTICA DE LOS ESTADOS UNIDOS MEXICANOS Y EN LOS ARTÍCULOS </w:t>
      </w:r>
      <w:r w:rsidR="00857251">
        <w:rPr>
          <w:b/>
          <w:bCs/>
          <w:sz w:val="16"/>
          <w:szCs w:val="16"/>
        </w:rPr>
        <w:t xml:space="preserve">3 FRACCIÓN XIII, </w:t>
      </w:r>
      <w:r w:rsidR="00881F88">
        <w:rPr>
          <w:b/>
          <w:bCs/>
          <w:sz w:val="16"/>
          <w:szCs w:val="16"/>
        </w:rPr>
        <w:t>40, 51 FRACCIÓN I, 53, 54</w:t>
      </w:r>
      <w:r w:rsidR="004817FC">
        <w:rPr>
          <w:b/>
          <w:bCs/>
          <w:sz w:val="16"/>
          <w:szCs w:val="16"/>
        </w:rPr>
        <w:t>, 70</w:t>
      </w:r>
      <w:r w:rsidR="00881F88">
        <w:rPr>
          <w:b/>
          <w:bCs/>
          <w:sz w:val="16"/>
          <w:szCs w:val="16"/>
        </w:rPr>
        <w:t xml:space="preserve"> </w:t>
      </w:r>
      <w:r w:rsidR="00857251">
        <w:rPr>
          <w:b/>
          <w:bCs/>
          <w:sz w:val="16"/>
          <w:szCs w:val="16"/>
        </w:rPr>
        <w:t xml:space="preserve">Y DEMÁS APLICABLES DE LA </w:t>
      </w:r>
      <w:r w:rsidRPr="00F927FB">
        <w:rPr>
          <w:b/>
          <w:bCs/>
          <w:sz w:val="16"/>
          <w:szCs w:val="16"/>
        </w:rPr>
        <w:t>LEY DE ADQUISICIONES, ARRENDAMIENTOS</w:t>
      </w:r>
      <w:r w:rsidR="00857251">
        <w:rPr>
          <w:b/>
          <w:bCs/>
          <w:sz w:val="16"/>
          <w:szCs w:val="16"/>
        </w:rPr>
        <w:t xml:space="preserve"> Y</w:t>
      </w:r>
      <w:r w:rsidRPr="00F927FB">
        <w:rPr>
          <w:b/>
          <w:bCs/>
          <w:sz w:val="16"/>
          <w:szCs w:val="16"/>
        </w:rPr>
        <w:t xml:space="preserve"> CONTRATACIÓN DE SERVICIOS </w:t>
      </w:r>
      <w:r w:rsidR="00CC3EF8" w:rsidRPr="00F927FB">
        <w:rPr>
          <w:b/>
          <w:bCs/>
          <w:sz w:val="16"/>
          <w:szCs w:val="16"/>
        </w:rPr>
        <w:t>DEL ESTADO DE CHIHUAHUA</w:t>
      </w:r>
      <w:r w:rsidR="006A464E" w:rsidRPr="00F927FB">
        <w:rPr>
          <w:b/>
          <w:bCs/>
          <w:sz w:val="16"/>
          <w:szCs w:val="16"/>
        </w:rPr>
        <w:t>,</w:t>
      </w:r>
      <w:r w:rsidR="00287E2D" w:rsidRPr="00F927FB">
        <w:rPr>
          <w:b/>
          <w:bCs/>
          <w:sz w:val="16"/>
          <w:szCs w:val="16"/>
        </w:rPr>
        <w:t xml:space="preserve"> </w:t>
      </w:r>
      <w:r w:rsidR="001A21B3" w:rsidRPr="00F927FB">
        <w:rPr>
          <w:b/>
          <w:sz w:val="16"/>
          <w:szCs w:val="16"/>
        </w:rPr>
        <w:t>CONVOCA A LAS PERSONAS FÍ</w:t>
      </w:r>
      <w:r w:rsidRPr="00F927FB">
        <w:rPr>
          <w:b/>
          <w:sz w:val="16"/>
          <w:szCs w:val="16"/>
        </w:rPr>
        <w:t>S</w:t>
      </w:r>
      <w:r w:rsidR="001A21B3" w:rsidRPr="00F927FB">
        <w:rPr>
          <w:b/>
          <w:sz w:val="16"/>
          <w:szCs w:val="16"/>
        </w:rPr>
        <w:t>ICAS O MORALES QUE TENGAN INTERÉS E</w:t>
      </w:r>
      <w:r w:rsidR="000F5278">
        <w:rPr>
          <w:b/>
          <w:sz w:val="16"/>
          <w:szCs w:val="16"/>
        </w:rPr>
        <w:t>N PARTICIPAR EN LA LICITACIÓN PÚ</w:t>
      </w:r>
      <w:r w:rsidRPr="00F927FB">
        <w:rPr>
          <w:b/>
          <w:sz w:val="16"/>
          <w:szCs w:val="16"/>
        </w:rPr>
        <w:t>BLICA</w:t>
      </w:r>
      <w:r w:rsidR="001A21B3" w:rsidRPr="00F927FB">
        <w:rPr>
          <w:b/>
          <w:sz w:val="16"/>
          <w:szCs w:val="16"/>
        </w:rPr>
        <w:t xml:space="preserve"> </w:t>
      </w:r>
      <w:r w:rsidR="0063561F">
        <w:rPr>
          <w:b/>
          <w:sz w:val="16"/>
          <w:szCs w:val="16"/>
        </w:rPr>
        <w:t xml:space="preserve">PRESENCIAL </w:t>
      </w:r>
      <w:r w:rsidR="00697A8B" w:rsidRPr="00F927FB">
        <w:rPr>
          <w:b/>
          <w:sz w:val="16"/>
          <w:szCs w:val="16"/>
        </w:rPr>
        <w:t>RELATIVA A</w:t>
      </w:r>
      <w:r w:rsidR="001A21B3" w:rsidRPr="00F927FB">
        <w:rPr>
          <w:b/>
          <w:sz w:val="16"/>
          <w:szCs w:val="16"/>
        </w:rPr>
        <w:t xml:space="preserve"> </w:t>
      </w:r>
      <w:r w:rsidR="0089570F" w:rsidRPr="0089570F">
        <w:rPr>
          <w:b/>
          <w:sz w:val="16"/>
          <w:szCs w:val="16"/>
        </w:rPr>
        <w:t xml:space="preserve">LA PRESTACIÓN DE </w:t>
      </w:r>
      <w:r w:rsidR="008E76F2">
        <w:rPr>
          <w:b/>
          <w:sz w:val="16"/>
          <w:szCs w:val="16"/>
        </w:rPr>
        <w:t>SERVICIOS  SUBROGADOS DE PAQUETES HOSPITALARIOS, IMAGENOLOGÍA Y  ANÁLISIS CLÍNICOS</w:t>
      </w:r>
      <w:r w:rsidR="0089570F" w:rsidRPr="0089570F">
        <w:rPr>
          <w:b/>
          <w:sz w:val="16"/>
          <w:szCs w:val="16"/>
        </w:rPr>
        <w:t xml:space="preserve"> DE SUS DELEGACIONES</w:t>
      </w:r>
      <w:r w:rsidR="0089570F">
        <w:rPr>
          <w:b/>
          <w:sz w:val="16"/>
          <w:szCs w:val="16"/>
        </w:rPr>
        <w:t>,</w:t>
      </w:r>
      <w:r w:rsidR="0089570F" w:rsidRPr="0089570F">
        <w:rPr>
          <w:b/>
          <w:sz w:val="16"/>
          <w:szCs w:val="16"/>
        </w:rPr>
        <w:t xml:space="preserve"> </w:t>
      </w:r>
      <w:r w:rsidRPr="00F927FB">
        <w:rPr>
          <w:b/>
          <w:sz w:val="16"/>
          <w:szCs w:val="16"/>
        </w:rPr>
        <w:t>REQUERIDO</w:t>
      </w:r>
      <w:r w:rsidR="00F0735D" w:rsidRPr="00F927FB">
        <w:rPr>
          <w:b/>
          <w:sz w:val="16"/>
          <w:szCs w:val="16"/>
        </w:rPr>
        <w:t>S</w:t>
      </w:r>
      <w:r w:rsidRPr="00F927FB">
        <w:rPr>
          <w:b/>
          <w:sz w:val="16"/>
          <w:szCs w:val="16"/>
        </w:rPr>
        <w:t xml:space="preserve"> POR </w:t>
      </w:r>
      <w:r w:rsidR="001A21B3" w:rsidRPr="00F927FB">
        <w:rPr>
          <w:b/>
          <w:sz w:val="16"/>
          <w:szCs w:val="16"/>
        </w:rPr>
        <w:t>ESTE ORGANISMO</w:t>
      </w:r>
      <w:r w:rsidR="00770829">
        <w:rPr>
          <w:b/>
          <w:sz w:val="16"/>
          <w:szCs w:val="16"/>
        </w:rPr>
        <w:t xml:space="preserve"> PARA HACER FRENTE A LAS NECESIDADES EN EL RUBRO</w:t>
      </w:r>
      <w:r w:rsidR="00637A2C">
        <w:rPr>
          <w:b/>
          <w:sz w:val="16"/>
          <w:szCs w:val="16"/>
        </w:rPr>
        <w:t xml:space="preserve">, </w:t>
      </w:r>
      <w:r w:rsidRPr="00F927FB">
        <w:rPr>
          <w:b/>
          <w:sz w:val="16"/>
          <w:szCs w:val="16"/>
        </w:rPr>
        <w:t>CONFORME A L</w:t>
      </w:r>
      <w:r w:rsidR="00697A8B" w:rsidRPr="00F927FB">
        <w:rPr>
          <w:b/>
          <w:sz w:val="16"/>
          <w:szCs w:val="16"/>
        </w:rPr>
        <w:t xml:space="preserve">AS </w:t>
      </w:r>
      <w:r w:rsidRPr="00F927FB">
        <w:rPr>
          <w:b/>
          <w:sz w:val="16"/>
          <w:szCs w:val="16"/>
        </w:rPr>
        <w:t>SIGUIENTE</w:t>
      </w:r>
      <w:r w:rsidR="00697A8B" w:rsidRPr="00F927FB">
        <w:rPr>
          <w:b/>
          <w:sz w:val="16"/>
          <w:szCs w:val="16"/>
        </w:rPr>
        <w:t>S ESPECIFICACIONES</w:t>
      </w:r>
      <w:r w:rsidRPr="00F927FB">
        <w:rPr>
          <w:b/>
          <w:sz w:val="16"/>
          <w:szCs w:val="16"/>
        </w:rPr>
        <w:t>:</w:t>
      </w:r>
    </w:p>
    <w:p w:rsidR="00E23CE8" w:rsidRPr="000B676A" w:rsidRDefault="00E23CE8" w:rsidP="00700A10">
      <w:pPr>
        <w:pStyle w:val="Textoindependiente3"/>
        <w:jc w:val="both"/>
        <w:rPr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Spec="center" w:tblpY="-66"/>
        <w:tblOverlap w:val="never"/>
        <w:tblW w:w="4968" w:type="pct"/>
        <w:tblCellMar>
          <w:left w:w="70" w:type="dxa"/>
          <w:right w:w="70" w:type="dxa"/>
        </w:tblCellMar>
        <w:tblLook w:val="0000"/>
      </w:tblPr>
      <w:tblGrid>
        <w:gridCol w:w="1481"/>
        <w:gridCol w:w="65"/>
        <w:gridCol w:w="1489"/>
        <w:gridCol w:w="1309"/>
        <w:gridCol w:w="3057"/>
        <w:gridCol w:w="1220"/>
        <w:gridCol w:w="2251"/>
      </w:tblGrid>
      <w:tr w:rsidR="00C879B5" w:rsidRPr="00931986" w:rsidTr="00BB7EC5">
        <w:trPr>
          <w:trHeight w:val="212"/>
        </w:trPr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B5" w:rsidRPr="00BB7EC5" w:rsidRDefault="00C879B5" w:rsidP="00C879B5">
            <w:pPr>
              <w:jc w:val="center"/>
              <w:rPr>
                <w:b/>
                <w:bCs/>
                <w:color w:val="000000"/>
                <w:sz w:val="15"/>
                <w:szCs w:val="15"/>
                <w:lang w:val="es-ES"/>
              </w:rPr>
            </w:pPr>
            <w:r w:rsidRPr="00BB7EC5">
              <w:rPr>
                <w:b/>
                <w:bCs/>
                <w:color w:val="000000"/>
                <w:sz w:val="15"/>
                <w:szCs w:val="15"/>
                <w:lang w:val="es-ES"/>
              </w:rPr>
              <w:t>TIPO DE SERVICIO SUBROGADO</w:t>
            </w:r>
          </w:p>
        </w:tc>
        <w:tc>
          <w:tcPr>
            <w:tcW w:w="269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9B5" w:rsidRPr="00BB7EC5" w:rsidRDefault="00C879B5" w:rsidP="00C879B5">
            <w:pPr>
              <w:jc w:val="center"/>
              <w:rPr>
                <w:b/>
                <w:bCs/>
                <w:color w:val="FFFFFF"/>
                <w:sz w:val="15"/>
                <w:szCs w:val="15"/>
                <w:lang w:val="es-ES"/>
              </w:rPr>
            </w:pPr>
            <w:r w:rsidRPr="00BB7EC5">
              <w:rPr>
                <w:b/>
                <w:bCs/>
                <w:color w:val="000000"/>
                <w:sz w:val="15"/>
                <w:szCs w:val="15"/>
                <w:lang w:val="es-ES"/>
              </w:rPr>
              <w:t>DESCRIPCIÓN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EC5" w:rsidRDefault="00BB7EC5" w:rsidP="00BB7EC5">
            <w:pPr>
              <w:jc w:val="center"/>
              <w:rPr>
                <w:b/>
                <w:bCs/>
                <w:color w:val="000000"/>
                <w:sz w:val="15"/>
                <w:szCs w:val="15"/>
                <w:lang w:val="es-ES"/>
              </w:rPr>
            </w:pPr>
          </w:p>
          <w:p w:rsidR="00C879B5" w:rsidRPr="00BB7EC5" w:rsidRDefault="00C879B5" w:rsidP="00BB7EC5">
            <w:pPr>
              <w:jc w:val="center"/>
              <w:rPr>
                <w:b/>
                <w:bCs/>
                <w:color w:val="000000"/>
                <w:sz w:val="15"/>
                <w:szCs w:val="15"/>
                <w:lang w:val="es-ES"/>
              </w:rPr>
            </w:pPr>
            <w:r w:rsidRPr="00BB7EC5">
              <w:rPr>
                <w:b/>
                <w:bCs/>
                <w:color w:val="000000"/>
                <w:sz w:val="15"/>
                <w:szCs w:val="15"/>
                <w:lang w:val="es-ES"/>
              </w:rPr>
              <w:t>MONTO MÁXIMO A EJERCER</w:t>
            </w:r>
          </w:p>
        </w:tc>
      </w:tr>
      <w:tr w:rsidR="00C879B5" w:rsidRPr="00AF69CE" w:rsidTr="00BB7EC5">
        <w:trPr>
          <w:trHeight w:val="75"/>
        </w:trPr>
        <w:tc>
          <w:tcPr>
            <w:tcW w:w="7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5" w:rsidRPr="00BB7EC5" w:rsidRDefault="00C879B5" w:rsidP="00C879B5">
            <w:pPr>
              <w:jc w:val="center"/>
              <w:rPr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69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9B5" w:rsidRPr="00BB7EC5" w:rsidRDefault="00C879B5" w:rsidP="00C879B5">
            <w:pPr>
              <w:jc w:val="center"/>
              <w:rPr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79B5" w:rsidRPr="00BB7EC5" w:rsidRDefault="00C879B5" w:rsidP="00C879B5">
            <w:pPr>
              <w:jc w:val="center"/>
              <w:rPr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</w:tr>
      <w:tr w:rsidR="00C879B5" w:rsidRPr="0094551E" w:rsidTr="00BB7EC5">
        <w:trPr>
          <w:trHeight w:val="815"/>
        </w:trPr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B5" w:rsidRPr="00BB7EC5" w:rsidRDefault="00C879B5" w:rsidP="00C879B5">
            <w:pPr>
              <w:jc w:val="center"/>
              <w:rPr>
                <w:bCs/>
                <w:sz w:val="15"/>
                <w:szCs w:val="15"/>
                <w:lang w:val="es-ES_tradnl"/>
              </w:rPr>
            </w:pPr>
            <w:r w:rsidRPr="00BB7EC5">
              <w:rPr>
                <w:bCs/>
                <w:sz w:val="15"/>
                <w:szCs w:val="15"/>
                <w:lang w:val="es-ES_tradnl"/>
              </w:rPr>
              <w:t>PAQUETES HOSPITALARIOS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B5" w:rsidRPr="00BB7EC5" w:rsidRDefault="00C879B5" w:rsidP="00BB7EC5">
            <w:pPr>
              <w:rPr>
                <w:bCs/>
                <w:sz w:val="15"/>
                <w:szCs w:val="15"/>
                <w:lang w:val="es-ES_tradnl"/>
              </w:rPr>
            </w:pPr>
          </w:p>
          <w:p w:rsidR="00C879B5" w:rsidRPr="00BB7EC5" w:rsidRDefault="00C879B5" w:rsidP="00BB7EC5">
            <w:pPr>
              <w:rPr>
                <w:bCs/>
                <w:sz w:val="15"/>
                <w:szCs w:val="15"/>
                <w:lang w:val="es-ES_tradnl"/>
              </w:rPr>
            </w:pPr>
            <w:r w:rsidRPr="00BB7EC5">
              <w:rPr>
                <w:bCs/>
                <w:sz w:val="15"/>
                <w:szCs w:val="15"/>
                <w:lang w:val="es-ES_tradnl"/>
              </w:rPr>
              <w:t xml:space="preserve">Prestación de servicio que se conforma de diferentes paquetes hospitalarios, mismos que se </w:t>
            </w:r>
            <w:r w:rsidR="00BB7EC5" w:rsidRPr="00BB7EC5">
              <w:rPr>
                <w:bCs/>
                <w:sz w:val="15"/>
                <w:szCs w:val="15"/>
                <w:lang w:val="es-ES_tradnl"/>
              </w:rPr>
              <w:t>dividen en las partidas que</w:t>
            </w:r>
            <w:r w:rsidRPr="00BB7EC5">
              <w:rPr>
                <w:bCs/>
                <w:sz w:val="15"/>
                <w:szCs w:val="15"/>
                <w:lang w:val="es-ES_tradnl"/>
              </w:rPr>
              <w:t xml:space="preserve"> se describen en </w:t>
            </w:r>
            <w:r w:rsidR="00BB7EC5" w:rsidRPr="00BB7EC5">
              <w:rPr>
                <w:bCs/>
                <w:sz w:val="15"/>
                <w:szCs w:val="15"/>
                <w:lang w:val="es-ES_tradnl"/>
              </w:rPr>
              <w:t>los</w:t>
            </w:r>
            <w:r w:rsidRPr="00BB7EC5">
              <w:rPr>
                <w:bCs/>
                <w:sz w:val="15"/>
                <w:szCs w:val="15"/>
                <w:lang w:val="es-ES_tradnl"/>
              </w:rPr>
              <w:t xml:space="preserve"> Anexo</w:t>
            </w:r>
            <w:r w:rsidR="00BB7EC5" w:rsidRPr="00BB7EC5">
              <w:rPr>
                <w:bCs/>
                <w:sz w:val="15"/>
                <w:szCs w:val="15"/>
                <w:lang w:val="es-ES_tradnl"/>
              </w:rPr>
              <w:t>s</w:t>
            </w:r>
            <w:r w:rsidRPr="00BB7EC5">
              <w:rPr>
                <w:bCs/>
                <w:sz w:val="15"/>
                <w:szCs w:val="15"/>
                <w:lang w:val="es-ES_tradnl"/>
              </w:rPr>
              <w:t xml:space="preserve"> A1</w:t>
            </w:r>
            <w:r w:rsidR="00BB7EC5" w:rsidRPr="00BB7EC5">
              <w:rPr>
                <w:bCs/>
                <w:sz w:val="15"/>
                <w:szCs w:val="15"/>
                <w:lang w:val="es-ES_tradnl"/>
              </w:rPr>
              <w:t xml:space="preserve"> al A8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B5" w:rsidRPr="00BB7EC5" w:rsidRDefault="00A779F1" w:rsidP="00A779F1">
            <w:pPr>
              <w:jc w:val="both"/>
              <w:rPr>
                <w:bCs/>
                <w:sz w:val="15"/>
                <w:szCs w:val="15"/>
                <w:lang w:val="es-ES_tradnl"/>
              </w:rPr>
            </w:pPr>
            <w:r w:rsidRPr="00A779F1">
              <w:rPr>
                <w:bCs/>
                <w:sz w:val="15"/>
                <w:szCs w:val="15"/>
                <w:lang w:val="es-ES_tradnl"/>
              </w:rPr>
              <w:t>$23´256,251.93 (VEINTITRÉS MILLONES DOSCIENTOS CINCUENTA Y SEIS MIL DOSCIENTOS CINCUENTA Y UN PESOS 93/100 M.N.)</w:t>
            </w:r>
          </w:p>
        </w:tc>
      </w:tr>
      <w:tr w:rsidR="00BB7EC5" w:rsidRPr="0094551E" w:rsidTr="00BB7EC5">
        <w:trPr>
          <w:trHeight w:val="282"/>
        </w:trPr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C5" w:rsidRPr="00BB7EC5" w:rsidRDefault="00BB7EC5" w:rsidP="00BB7EC5">
            <w:pPr>
              <w:jc w:val="center"/>
              <w:rPr>
                <w:bCs/>
                <w:sz w:val="15"/>
                <w:szCs w:val="15"/>
                <w:lang w:val="es-ES_tradnl"/>
              </w:rPr>
            </w:pPr>
            <w:r w:rsidRPr="00BB7EC5">
              <w:rPr>
                <w:bCs/>
                <w:sz w:val="15"/>
                <w:szCs w:val="15"/>
                <w:lang w:val="es-ES_tradnl"/>
              </w:rPr>
              <w:t>IMAGENOLOGÍA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C5" w:rsidRPr="00BB7EC5" w:rsidRDefault="00BB7EC5" w:rsidP="00BB7EC5">
            <w:pPr>
              <w:jc w:val="both"/>
              <w:rPr>
                <w:bCs/>
                <w:sz w:val="15"/>
                <w:szCs w:val="15"/>
                <w:lang w:val="es-ES_tradnl"/>
              </w:rPr>
            </w:pPr>
            <w:r w:rsidRPr="00BB7EC5">
              <w:rPr>
                <w:bCs/>
                <w:sz w:val="15"/>
                <w:szCs w:val="15"/>
                <w:lang w:val="es-ES_tradnl"/>
              </w:rPr>
              <w:t>Prestación de servicio que se conforma de diferentes estudios de imagenología, mismos que se dividen en las partidas que se describen en los Anexos C1 al C8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C5" w:rsidRPr="00BB7EC5" w:rsidRDefault="00A779F1" w:rsidP="00A779F1">
            <w:pPr>
              <w:jc w:val="both"/>
              <w:rPr>
                <w:bCs/>
                <w:sz w:val="15"/>
                <w:szCs w:val="15"/>
                <w:lang w:val="es-ES_tradnl"/>
              </w:rPr>
            </w:pPr>
            <w:r w:rsidRPr="00A779F1">
              <w:rPr>
                <w:bCs/>
                <w:sz w:val="15"/>
                <w:szCs w:val="15"/>
                <w:lang w:val="es-ES_tradnl"/>
              </w:rPr>
              <w:t>$4’903,512.86 (CUATRO MILLONES NOVECIENTOS TRES MIL QUINIENTOS DOCE PESOS 86/100 M.N.)</w:t>
            </w:r>
          </w:p>
        </w:tc>
      </w:tr>
      <w:tr w:rsidR="00BB7EC5" w:rsidRPr="0094551E" w:rsidTr="00BB7EC5">
        <w:trPr>
          <w:trHeight w:val="527"/>
        </w:trPr>
        <w:tc>
          <w:tcPr>
            <w:tcW w:w="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C5" w:rsidRPr="00BB7EC5" w:rsidRDefault="00BB7EC5" w:rsidP="00BB7EC5">
            <w:pPr>
              <w:jc w:val="center"/>
              <w:rPr>
                <w:bCs/>
                <w:sz w:val="15"/>
                <w:szCs w:val="15"/>
                <w:lang w:val="es-ES_tradnl"/>
              </w:rPr>
            </w:pPr>
            <w:r w:rsidRPr="00BB7EC5">
              <w:rPr>
                <w:bCs/>
                <w:sz w:val="15"/>
                <w:szCs w:val="15"/>
                <w:lang w:val="es-ES_tradnl"/>
              </w:rPr>
              <w:t>ANÁLISIS CLÍNICOS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C5" w:rsidRPr="00BB7EC5" w:rsidRDefault="00BB7EC5" w:rsidP="00BB7EC5">
            <w:pPr>
              <w:jc w:val="both"/>
              <w:rPr>
                <w:bCs/>
                <w:sz w:val="15"/>
                <w:szCs w:val="15"/>
                <w:lang w:val="es-ES_tradnl"/>
              </w:rPr>
            </w:pPr>
            <w:r w:rsidRPr="00BB7EC5">
              <w:rPr>
                <w:bCs/>
                <w:sz w:val="15"/>
                <w:szCs w:val="15"/>
                <w:lang w:val="es-ES_tradnl"/>
              </w:rPr>
              <w:t>Prestación de servicio que se conforma de diferentes ESTUDIOS CLÍNICOS, mismos que se dividen en las partidas que se describen en los Anexos E1 al E1</w:t>
            </w:r>
            <w:r w:rsidR="003113B4">
              <w:rPr>
                <w:bCs/>
                <w:sz w:val="15"/>
                <w:szCs w:val="15"/>
                <w:lang w:val="es-ES_tradnl"/>
              </w:rPr>
              <w:t>4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C5" w:rsidRPr="00BB7EC5" w:rsidRDefault="00A779F1" w:rsidP="00A779F1">
            <w:pPr>
              <w:jc w:val="both"/>
              <w:rPr>
                <w:bCs/>
                <w:sz w:val="15"/>
                <w:szCs w:val="15"/>
                <w:lang w:val="es-ES_tradnl"/>
              </w:rPr>
            </w:pPr>
            <w:r w:rsidRPr="00A779F1">
              <w:rPr>
                <w:bCs/>
                <w:sz w:val="15"/>
                <w:szCs w:val="15"/>
                <w:lang w:val="es-ES_tradnl"/>
              </w:rPr>
              <w:t>$5’478,035.77 (CINCO MILLONES CUATROCIENTOS SETENTA Y OCHO MIL TREINTA Y CINCO PESOS 77/100 M.N.)</w:t>
            </w:r>
          </w:p>
        </w:tc>
      </w:tr>
      <w:tr w:rsidR="006B66D6" w:rsidRPr="0094551E" w:rsidTr="00BB7EC5">
        <w:trPr>
          <w:gridAfter w:val="1"/>
          <w:wAfter w:w="1036" w:type="pct"/>
          <w:trHeight w:val="104"/>
        </w:trPr>
        <w:tc>
          <w:tcPr>
            <w:tcW w:w="681" w:type="pct"/>
          </w:tcPr>
          <w:p w:rsidR="006B66D6" w:rsidRPr="00931986" w:rsidRDefault="006B66D6" w:rsidP="006206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5" w:type="pct"/>
            <w:gridSpan w:val="2"/>
          </w:tcPr>
          <w:p w:rsidR="006B66D6" w:rsidRPr="00931986" w:rsidRDefault="006B66D6" w:rsidP="006206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vAlign w:val="center"/>
          </w:tcPr>
          <w:p w:rsidR="006B66D6" w:rsidRPr="00931986" w:rsidRDefault="006B66D6" w:rsidP="006206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67" w:type="pct"/>
            <w:gridSpan w:val="2"/>
          </w:tcPr>
          <w:p w:rsidR="006B66D6" w:rsidRPr="00931986" w:rsidRDefault="006B66D6" w:rsidP="006206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D536A1" w:rsidRDefault="00700A10" w:rsidP="00700A10">
      <w:pPr>
        <w:pStyle w:val="Textoindependiente3"/>
        <w:jc w:val="both"/>
        <w:rPr>
          <w:b/>
          <w:sz w:val="18"/>
          <w:szCs w:val="18"/>
        </w:rPr>
      </w:pPr>
      <w:r w:rsidRPr="001D5415">
        <w:rPr>
          <w:b/>
          <w:sz w:val="18"/>
          <w:szCs w:val="18"/>
        </w:rPr>
        <w:t xml:space="preserve">CALENDARIO </w:t>
      </w:r>
      <w:r w:rsidR="001A21B3" w:rsidRPr="001D5415">
        <w:rPr>
          <w:b/>
          <w:sz w:val="18"/>
          <w:szCs w:val="18"/>
        </w:rPr>
        <w:t>RELATIVO AL</w:t>
      </w:r>
      <w:r w:rsidRPr="001D5415">
        <w:rPr>
          <w:b/>
          <w:sz w:val="18"/>
          <w:szCs w:val="18"/>
        </w:rPr>
        <w:t xml:space="preserve"> PROCESO </w:t>
      </w:r>
      <w:r w:rsidR="001A21B3" w:rsidRPr="001D5415">
        <w:rPr>
          <w:b/>
          <w:sz w:val="18"/>
          <w:szCs w:val="18"/>
        </w:rPr>
        <w:t>LICITATORIO</w:t>
      </w:r>
      <w:r w:rsidR="00B64058" w:rsidRPr="001D5415">
        <w:rPr>
          <w:b/>
          <w:sz w:val="18"/>
          <w:szCs w:val="18"/>
        </w:rPr>
        <w:t>:</w:t>
      </w:r>
    </w:p>
    <w:p w:rsidR="006206A9" w:rsidRDefault="006206A9" w:rsidP="00700A10">
      <w:pPr>
        <w:pStyle w:val="Textoindependiente3"/>
        <w:jc w:val="both"/>
        <w:rPr>
          <w:b/>
          <w:sz w:val="24"/>
          <w:szCs w:val="24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116"/>
        <w:gridCol w:w="2838"/>
        <w:gridCol w:w="2692"/>
      </w:tblGrid>
      <w:tr w:rsidR="005A6417" w:rsidRPr="006A464E" w:rsidTr="005A6417">
        <w:trPr>
          <w:trHeight w:val="430"/>
        </w:trPr>
        <w:tc>
          <w:tcPr>
            <w:tcW w:w="1027" w:type="pct"/>
            <w:shd w:val="clear" w:color="auto" w:fill="auto"/>
            <w:vAlign w:val="center"/>
          </w:tcPr>
          <w:p w:rsidR="005A6417" w:rsidRPr="00932A79" w:rsidRDefault="005A6417" w:rsidP="004D5828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DISPOSICIÓN</w:t>
            </w:r>
            <w:r w:rsidRPr="00932A79">
              <w:rPr>
                <w:b/>
                <w:bCs/>
                <w:sz w:val="16"/>
                <w:szCs w:val="16"/>
              </w:rPr>
              <w:t xml:space="preserve"> DE LAS BASES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A6417" w:rsidRPr="00932A79" w:rsidRDefault="005A6417" w:rsidP="004D5828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932A79">
              <w:rPr>
                <w:b/>
                <w:bCs/>
                <w:sz w:val="16"/>
                <w:szCs w:val="16"/>
              </w:rPr>
              <w:t>JUNTA DE ACLARACIONES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5A6417" w:rsidRPr="00932A79" w:rsidRDefault="005A6417" w:rsidP="004D5828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932A79">
              <w:rPr>
                <w:b/>
                <w:bCs/>
                <w:sz w:val="16"/>
                <w:szCs w:val="16"/>
              </w:rPr>
              <w:t>RECEPCIÓN Y APERTURA  DE PROPUESTAS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5A6417" w:rsidRPr="00932A79" w:rsidRDefault="005A6417" w:rsidP="004D5828">
            <w:pPr>
              <w:pStyle w:val="Textoindependiente"/>
              <w:ind w:left="32"/>
              <w:jc w:val="center"/>
              <w:rPr>
                <w:b/>
                <w:bCs/>
                <w:sz w:val="16"/>
                <w:szCs w:val="16"/>
              </w:rPr>
            </w:pPr>
            <w:r w:rsidRPr="00932A79">
              <w:rPr>
                <w:b/>
                <w:bCs/>
                <w:sz w:val="16"/>
                <w:szCs w:val="16"/>
              </w:rPr>
              <w:t>FALLO</w:t>
            </w:r>
          </w:p>
        </w:tc>
      </w:tr>
      <w:tr w:rsidR="005A6417" w:rsidRPr="006A464E" w:rsidTr="005A6417">
        <w:trPr>
          <w:trHeight w:val="999"/>
        </w:trPr>
        <w:tc>
          <w:tcPr>
            <w:tcW w:w="1027" w:type="pct"/>
          </w:tcPr>
          <w:p w:rsidR="005A6417" w:rsidRPr="00185489" w:rsidRDefault="005A6417" w:rsidP="00A779F1">
            <w:pPr>
              <w:pStyle w:val="Textoindependiente"/>
              <w:rPr>
                <w:bCs/>
                <w:sz w:val="16"/>
                <w:szCs w:val="16"/>
              </w:rPr>
            </w:pPr>
            <w:r w:rsidRPr="00185489">
              <w:rPr>
                <w:bCs/>
                <w:sz w:val="16"/>
                <w:szCs w:val="16"/>
              </w:rPr>
              <w:t>Durante</w:t>
            </w:r>
            <w:r w:rsidRPr="00185489">
              <w:rPr>
                <w:bCs/>
                <w:sz w:val="16"/>
                <w:szCs w:val="16"/>
                <w:lang w:val="es-ES"/>
              </w:rPr>
              <w:t xml:space="preserve"> los días hábiles del </w:t>
            </w:r>
            <w:r w:rsidR="008B7B11">
              <w:rPr>
                <w:bCs/>
                <w:sz w:val="16"/>
                <w:szCs w:val="16"/>
                <w:lang w:val="es-ES"/>
              </w:rPr>
              <w:t>15</w:t>
            </w:r>
            <w:r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185489">
              <w:rPr>
                <w:bCs/>
                <w:sz w:val="16"/>
                <w:szCs w:val="16"/>
                <w:lang w:val="es-ES"/>
              </w:rPr>
              <w:t xml:space="preserve">al </w:t>
            </w:r>
            <w:r w:rsidR="00A779F1">
              <w:rPr>
                <w:bCs/>
                <w:sz w:val="16"/>
                <w:szCs w:val="16"/>
                <w:lang w:val="es-ES"/>
              </w:rPr>
              <w:t>24</w:t>
            </w:r>
            <w:r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185489">
              <w:rPr>
                <w:bCs/>
                <w:sz w:val="16"/>
                <w:szCs w:val="16"/>
                <w:lang w:val="es-ES"/>
              </w:rPr>
              <w:t xml:space="preserve">de </w:t>
            </w:r>
            <w:r w:rsidR="008B7B11">
              <w:rPr>
                <w:bCs/>
                <w:sz w:val="16"/>
                <w:szCs w:val="16"/>
                <w:lang w:val="es-ES"/>
              </w:rPr>
              <w:t xml:space="preserve">diciembre </w:t>
            </w:r>
            <w:r>
              <w:rPr>
                <w:bCs/>
                <w:sz w:val="16"/>
                <w:szCs w:val="16"/>
                <w:lang w:val="es-ES"/>
              </w:rPr>
              <w:t>de 2018</w:t>
            </w:r>
            <w:r w:rsidRPr="00185489">
              <w:rPr>
                <w:bCs/>
                <w:sz w:val="16"/>
                <w:szCs w:val="16"/>
                <w:lang w:val="es-ES"/>
              </w:rPr>
              <w:t>, en un horario de las 9:00 a las 14:00 horas.</w:t>
            </w:r>
          </w:p>
        </w:tc>
        <w:tc>
          <w:tcPr>
            <w:tcW w:w="1432" w:type="pct"/>
          </w:tcPr>
          <w:p w:rsidR="005A6417" w:rsidRPr="00185489" w:rsidRDefault="005A6417" w:rsidP="00267132">
            <w:pPr>
              <w:pStyle w:val="Textoindependiente"/>
              <w:rPr>
                <w:bCs/>
                <w:sz w:val="16"/>
                <w:szCs w:val="16"/>
              </w:rPr>
            </w:pPr>
            <w:r w:rsidRPr="00185489">
              <w:rPr>
                <w:bCs/>
                <w:sz w:val="16"/>
                <w:szCs w:val="16"/>
              </w:rPr>
              <w:t xml:space="preserve">El día </w:t>
            </w:r>
            <w:r w:rsidR="00A779F1">
              <w:rPr>
                <w:bCs/>
                <w:sz w:val="16"/>
                <w:szCs w:val="16"/>
              </w:rPr>
              <w:t>19</w:t>
            </w:r>
            <w:r w:rsidRPr="00185489">
              <w:rPr>
                <w:bCs/>
                <w:sz w:val="16"/>
                <w:szCs w:val="16"/>
                <w:lang w:val="es-ES"/>
              </w:rPr>
              <w:t xml:space="preserve"> de </w:t>
            </w:r>
            <w:r w:rsidR="00267132">
              <w:rPr>
                <w:bCs/>
                <w:sz w:val="16"/>
                <w:szCs w:val="16"/>
                <w:lang w:val="es-ES"/>
              </w:rPr>
              <w:t>diciembre</w:t>
            </w:r>
            <w:r w:rsidRPr="00185489">
              <w:rPr>
                <w:bCs/>
                <w:sz w:val="16"/>
                <w:szCs w:val="16"/>
                <w:lang w:val="es-ES"/>
              </w:rPr>
              <w:t xml:space="preserve"> de 201</w:t>
            </w:r>
            <w:r>
              <w:rPr>
                <w:bCs/>
                <w:sz w:val="16"/>
                <w:szCs w:val="16"/>
                <w:lang w:val="es-ES"/>
              </w:rPr>
              <w:t>8</w:t>
            </w:r>
            <w:r w:rsidRPr="00185489">
              <w:rPr>
                <w:bCs/>
                <w:sz w:val="16"/>
                <w:szCs w:val="16"/>
              </w:rPr>
              <w:t xml:space="preserve">, a las </w:t>
            </w:r>
            <w:r w:rsidR="003C15B2">
              <w:rPr>
                <w:bCs/>
                <w:sz w:val="16"/>
                <w:szCs w:val="16"/>
              </w:rPr>
              <w:t>14</w:t>
            </w:r>
            <w:r w:rsidRPr="00185489">
              <w:rPr>
                <w:bCs/>
                <w:sz w:val="16"/>
                <w:szCs w:val="16"/>
              </w:rPr>
              <w:t xml:space="preserve">:00 horas, en el Auditorio </w:t>
            </w:r>
            <w:r w:rsidRPr="008018CE">
              <w:rPr>
                <w:bCs/>
                <w:sz w:val="16"/>
                <w:szCs w:val="16"/>
              </w:rPr>
              <w:t>de Consulta Externa</w:t>
            </w:r>
            <w:r w:rsidRPr="00185489">
              <w:rPr>
                <w:bCs/>
                <w:sz w:val="16"/>
                <w:szCs w:val="16"/>
              </w:rPr>
              <w:t xml:space="preserve"> de Pensiones Civiles del Estado.</w:t>
            </w:r>
          </w:p>
        </w:tc>
        <w:tc>
          <w:tcPr>
            <w:tcW w:w="1304" w:type="pct"/>
          </w:tcPr>
          <w:p w:rsidR="005A6417" w:rsidRPr="00185489" w:rsidRDefault="005A6417" w:rsidP="00267132">
            <w:pPr>
              <w:pStyle w:val="Textoindependiente"/>
              <w:rPr>
                <w:bCs/>
                <w:sz w:val="16"/>
                <w:szCs w:val="16"/>
              </w:rPr>
            </w:pPr>
            <w:r w:rsidRPr="00185489">
              <w:rPr>
                <w:bCs/>
                <w:sz w:val="16"/>
                <w:szCs w:val="16"/>
              </w:rPr>
              <w:t xml:space="preserve">El día </w:t>
            </w:r>
            <w:r w:rsidR="00A779F1">
              <w:rPr>
                <w:bCs/>
                <w:sz w:val="16"/>
                <w:szCs w:val="16"/>
              </w:rPr>
              <w:t>26</w:t>
            </w:r>
            <w:r w:rsidRPr="00185489">
              <w:rPr>
                <w:bCs/>
                <w:sz w:val="16"/>
                <w:szCs w:val="16"/>
                <w:lang w:val="es-ES"/>
              </w:rPr>
              <w:t xml:space="preserve"> de </w:t>
            </w:r>
            <w:r w:rsidR="00267132">
              <w:rPr>
                <w:bCs/>
                <w:sz w:val="16"/>
                <w:szCs w:val="16"/>
                <w:lang w:val="es-ES"/>
              </w:rPr>
              <w:t>diciembre</w:t>
            </w:r>
            <w:r w:rsidRPr="00185489">
              <w:rPr>
                <w:bCs/>
                <w:sz w:val="16"/>
                <w:szCs w:val="16"/>
                <w:lang w:val="es-ES"/>
              </w:rPr>
              <w:t xml:space="preserve"> de 201</w:t>
            </w:r>
            <w:r>
              <w:rPr>
                <w:bCs/>
                <w:sz w:val="16"/>
                <w:szCs w:val="16"/>
                <w:lang w:val="es-ES"/>
              </w:rPr>
              <w:t>8</w:t>
            </w:r>
            <w:r w:rsidRPr="00185489">
              <w:rPr>
                <w:bCs/>
                <w:sz w:val="16"/>
                <w:szCs w:val="16"/>
              </w:rPr>
              <w:t xml:space="preserve">, a las </w:t>
            </w:r>
            <w:r>
              <w:rPr>
                <w:bCs/>
                <w:sz w:val="16"/>
                <w:szCs w:val="16"/>
              </w:rPr>
              <w:t>10</w:t>
            </w:r>
            <w:r w:rsidRPr="00185489">
              <w:rPr>
                <w:bCs/>
                <w:sz w:val="16"/>
                <w:szCs w:val="16"/>
              </w:rPr>
              <w:t xml:space="preserve">:00 horas, en el Auditorio </w:t>
            </w:r>
            <w:r w:rsidRPr="008018CE">
              <w:rPr>
                <w:bCs/>
                <w:sz w:val="16"/>
                <w:szCs w:val="16"/>
              </w:rPr>
              <w:t>de Consulta Externa</w:t>
            </w:r>
            <w:r w:rsidRPr="00185489">
              <w:rPr>
                <w:bCs/>
                <w:sz w:val="16"/>
                <w:szCs w:val="16"/>
              </w:rPr>
              <w:t xml:space="preserve"> de Pensiones Civiles del Estado.</w:t>
            </w:r>
          </w:p>
        </w:tc>
        <w:tc>
          <w:tcPr>
            <w:tcW w:w="1237" w:type="pct"/>
          </w:tcPr>
          <w:p w:rsidR="005A6417" w:rsidRPr="00185489" w:rsidRDefault="005A6417" w:rsidP="0044005E">
            <w:pPr>
              <w:pStyle w:val="Textoindependiente"/>
              <w:rPr>
                <w:bCs/>
                <w:sz w:val="16"/>
                <w:szCs w:val="16"/>
              </w:rPr>
            </w:pPr>
            <w:r w:rsidRPr="00185489">
              <w:rPr>
                <w:bCs/>
                <w:sz w:val="16"/>
                <w:szCs w:val="16"/>
              </w:rPr>
              <w:t>La fecha en que se emitirá el fallo se dará a conocer en el acto de recepción y apertura de propuestas, y se notificará por escrito.</w:t>
            </w:r>
          </w:p>
        </w:tc>
      </w:tr>
    </w:tbl>
    <w:p w:rsidR="00700A10" w:rsidRPr="006A464E" w:rsidRDefault="00700A10" w:rsidP="00700A10">
      <w:pPr>
        <w:jc w:val="both"/>
        <w:rPr>
          <w:b/>
        </w:rPr>
      </w:pPr>
    </w:p>
    <w:p w:rsidR="00BC203B" w:rsidRPr="001D5415" w:rsidRDefault="00C759BE" w:rsidP="00932A7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DISPOSICIÓN </w:t>
      </w:r>
      <w:r w:rsidR="00415FB8" w:rsidRPr="001D5415">
        <w:rPr>
          <w:b/>
          <w:sz w:val="18"/>
          <w:szCs w:val="18"/>
        </w:rPr>
        <w:t xml:space="preserve">DE </w:t>
      </w:r>
      <w:r w:rsidR="00C53E95" w:rsidRPr="001D5415">
        <w:rPr>
          <w:b/>
          <w:sz w:val="18"/>
          <w:szCs w:val="18"/>
        </w:rPr>
        <w:t xml:space="preserve">LAS </w:t>
      </w:r>
      <w:r w:rsidR="00415FB8" w:rsidRPr="001D5415">
        <w:rPr>
          <w:b/>
          <w:sz w:val="18"/>
          <w:szCs w:val="18"/>
        </w:rPr>
        <w:t>BASES</w:t>
      </w:r>
      <w:r w:rsidR="00B64058" w:rsidRPr="001D5415">
        <w:rPr>
          <w:b/>
          <w:sz w:val="18"/>
          <w:szCs w:val="18"/>
        </w:rPr>
        <w:t>:</w:t>
      </w:r>
    </w:p>
    <w:p w:rsidR="00C908CA" w:rsidRPr="00F927FB" w:rsidRDefault="00697A8B" w:rsidP="00415FB8">
      <w:pPr>
        <w:pStyle w:val="Textoindependiente2"/>
        <w:rPr>
          <w:sz w:val="16"/>
          <w:szCs w:val="16"/>
        </w:rPr>
      </w:pPr>
      <w:r w:rsidRPr="00F927FB">
        <w:rPr>
          <w:sz w:val="16"/>
          <w:szCs w:val="16"/>
        </w:rPr>
        <w:t xml:space="preserve">1.- </w:t>
      </w:r>
      <w:r w:rsidR="00065100" w:rsidRPr="00F927FB">
        <w:rPr>
          <w:sz w:val="16"/>
          <w:szCs w:val="16"/>
        </w:rPr>
        <w:t xml:space="preserve">Las bases </w:t>
      </w:r>
      <w:r w:rsidR="00C759BE">
        <w:rPr>
          <w:sz w:val="16"/>
          <w:szCs w:val="16"/>
        </w:rPr>
        <w:t xml:space="preserve">estarán a disposición de los interesados hasta un día hábil previo al acto de presentación y apertura de propuestas </w:t>
      </w:r>
      <w:r w:rsidR="00065100" w:rsidRPr="00F927FB">
        <w:rPr>
          <w:sz w:val="16"/>
          <w:szCs w:val="16"/>
        </w:rPr>
        <w:t>en</w:t>
      </w:r>
      <w:r w:rsidR="006B7FBD">
        <w:rPr>
          <w:sz w:val="16"/>
          <w:szCs w:val="16"/>
        </w:rPr>
        <w:t xml:space="preserve"> el Departamento de Recursos Materiales y Servicios de</w:t>
      </w:r>
      <w:r w:rsidR="00065100" w:rsidRPr="00F927FB">
        <w:rPr>
          <w:sz w:val="16"/>
          <w:szCs w:val="16"/>
        </w:rPr>
        <w:t xml:space="preserve"> Pensiones Civiles del Estado, sita en el </w:t>
      </w:r>
      <w:r w:rsidR="006B7FBD">
        <w:rPr>
          <w:sz w:val="16"/>
          <w:szCs w:val="16"/>
        </w:rPr>
        <w:t>cuarto</w:t>
      </w:r>
      <w:r w:rsidR="00065100" w:rsidRPr="00F927FB">
        <w:rPr>
          <w:sz w:val="16"/>
          <w:szCs w:val="16"/>
        </w:rPr>
        <w:t xml:space="preserve"> piso del Edificio ubicado en la Avenida Teófilo Borunda </w:t>
      </w:r>
      <w:r w:rsidR="00932A79" w:rsidRPr="00F927FB">
        <w:rPr>
          <w:sz w:val="16"/>
          <w:szCs w:val="16"/>
        </w:rPr>
        <w:t>Ortiz</w:t>
      </w:r>
      <w:r w:rsidR="00F05523" w:rsidRPr="00F927FB">
        <w:rPr>
          <w:sz w:val="16"/>
          <w:szCs w:val="16"/>
        </w:rPr>
        <w:t>,</w:t>
      </w:r>
      <w:r w:rsidR="00065100" w:rsidRPr="00F927FB">
        <w:rPr>
          <w:sz w:val="16"/>
          <w:szCs w:val="16"/>
        </w:rPr>
        <w:t xml:space="preserve"> No.  2900</w:t>
      </w:r>
      <w:r w:rsidR="000B676A">
        <w:rPr>
          <w:sz w:val="16"/>
          <w:szCs w:val="16"/>
        </w:rPr>
        <w:t>, Colonia Centro</w:t>
      </w:r>
      <w:r w:rsidR="00C759BE">
        <w:rPr>
          <w:sz w:val="16"/>
          <w:szCs w:val="16"/>
        </w:rPr>
        <w:t xml:space="preserve"> de la </w:t>
      </w:r>
      <w:r w:rsidR="00103019">
        <w:rPr>
          <w:sz w:val="16"/>
          <w:szCs w:val="16"/>
        </w:rPr>
        <w:t>c</w:t>
      </w:r>
      <w:r w:rsidR="00C759BE">
        <w:rPr>
          <w:sz w:val="16"/>
          <w:szCs w:val="16"/>
        </w:rPr>
        <w:t>iudad de Chihuahua,</w:t>
      </w:r>
      <w:r w:rsidR="00103019">
        <w:rPr>
          <w:sz w:val="16"/>
          <w:szCs w:val="16"/>
        </w:rPr>
        <w:t xml:space="preserve"> Chih., </w:t>
      </w:r>
      <w:bookmarkStart w:id="0" w:name="_GoBack"/>
      <w:bookmarkEnd w:id="0"/>
      <w:r w:rsidR="00C759BE">
        <w:rPr>
          <w:sz w:val="16"/>
          <w:szCs w:val="16"/>
        </w:rPr>
        <w:t>así como también en la siguiente dirección electrónica</w:t>
      </w:r>
      <w:r w:rsidR="00C759BE" w:rsidRPr="00C759BE">
        <w:t xml:space="preserve"> </w:t>
      </w:r>
      <w:hyperlink r:id="rId8" w:history="1">
        <w:r w:rsidR="00C759BE" w:rsidRPr="00574F04">
          <w:rPr>
            <w:rStyle w:val="Hipervnculo"/>
            <w:sz w:val="16"/>
            <w:szCs w:val="16"/>
          </w:rPr>
          <w:t>http://www.pce.chihuahua.gob.mx/</w:t>
        </w:r>
      </w:hyperlink>
      <w:r w:rsidR="00C759BE">
        <w:rPr>
          <w:sz w:val="16"/>
          <w:szCs w:val="16"/>
        </w:rPr>
        <w:t xml:space="preserve">.  </w:t>
      </w:r>
    </w:p>
    <w:p w:rsidR="00BB7EC5" w:rsidRPr="00BB7EC5" w:rsidRDefault="00BB7EC5" w:rsidP="00BC203B">
      <w:pPr>
        <w:pStyle w:val="Textoindependiente2"/>
        <w:rPr>
          <w:sz w:val="8"/>
          <w:szCs w:val="16"/>
        </w:rPr>
      </w:pPr>
    </w:p>
    <w:p w:rsidR="00957B90" w:rsidRPr="006B7FBD" w:rsidRDefault="00065100" w:rsidP="00BC203B">
      <w:pPr>
        <w:pStyle w:val="Textoindependiente2"/>
        <w:rPr>
          <w:rFonts w:ascii="Tahoma" w:hAnsi="Tahoma" w:cs="Tahoma"/>
          <w:sz w:val="16"/>
          <w:szCs w:val="16"/>
          <w:lang w:val="es-ES_tradnl"/>
        </w:rPr>
      </w:pPr>
      <w:r w:rsidRPr="00F927FB">
        <w:rPr>
          <w:sz w:val="16"/>
          <w:szCs w:val="16"/>
        </w:rPr>
        <w:t>2.- E</w:t>
      </w:r>
      <w:r w:rsidRPr="00F927FB">
        <w:rPr>
          <w:sz w:val="16"/>
          <w:szCs w:val="16"/>
          <w:lang w:val="es-ES_tradnl"/>
        </w:rPr>
        <w:t xml:space="preserve">l costo de </w:t>
      </w:r>
      <w:r w:rsidR="00C759BE">
        <w:rPr>
          <w:sz w:val="16"/>
          <w:szCs w:val="16"/>
          <w:lang w:val="es-ES_tradnl"/>
        </w:rPr>
        <w:t xml:space="preserve">participación </w:t>
      </w:r>
      <w:r w:rsidRPr="00F927FB">
        <w:rPr>
          <w:sz w:val="16"/>
          <w:szCs w:val="16"/>
          <w:lang w:val="es-ES_tradnl"/>
        </w:rPr>
        <w:t xml:space="preserve">es de </w:t>
      </w:r>
      <w:r w:rsidRPr="00F6066E">
        <w:rPr>
          <w:b/>
          <w:sz w:val="16"/>
          <w:szCs w:val="16"/>
          <w:lang w:val="es-ES_tradnl"/>
        </w:rPr>
        <w:t>$</w:t>
      </w:r>
      <w:r w:rsidR="00F6066E" w:rsidRPr="00F6066E">
        <w:rPr>
          <w:b/>
          <w:sz w:val="16"/>
          <w:szCs w:val="16"/>
          <w:lang w:val="es-ES_tradnl"/>
        </w:rPr>
        <w:t>1</w:t>
      </w:r>
      <w:r w:rsidRPr="00F6066E">
        <w:rPr>
          <w:b/>
          <w:sz w:val="16"/>
          <w:szCs w:val="16"/>
          <w:lang w:val="es-ES_tradnl"/>
        </w:rPr>
        <w:t>,</w:t>
      </w:r>
      <w:r w:rsidR="00F6066E" w:rsidRPr="00F6066E">
        <w:rPr>
          <w:b/>
          <w:sz w:val="16"/>
          <w:szCs w:val="16"/>
          <w:lang w:val="es-ES_tradnl"/>
        </w:rPr>
        <w:t>5</w:t>
      </w:r>
      <w:r w:rsidRPr="00F6066E">
        <w:rPr>
          <w:b/>
          <w:sz w:val="16"/>
          <w:szCs w:val="16"/>
          <w:lang w:val="es-ES_tradnl"/>
        </w:rPr>
        <w:t>00.00 (</w:t>
      </w:r>
      <w:r w:rsidR="00032ECD" w:rsidRPr="00F6066E">
        <w:rPr>
          <w:b/>
          <w:sz w:val="16"/>
          <w:szCs w:val="16"/>
          <w:lang w:val="es-ES_tradnl"/>
        </w:rPr>
        <w:t xml:space="preserve">MIL QUINIENTOS PESOS </w:t>
      </w:r>
      <w:r w:rsidR="005D1E9C" w:rsidRPr="00F6066E">
        <w:rPr>
          <w:b/>
          <w:sz w:val="16"/>
          <w:szCs w:val="16"/>
          <w:lang w:val="es-ES_tradnl"/>
        </w:rPr>
        <w:t>00/100 M</w:t>
      </w:r>
      <w:r w:rsidRPr="00F6066E">
        <w:rPr>
          <w:b/>
          <w:sz w:val="16"/>
          <w:szCs w:val="16"/>
          <w:lang w:val="es-ES_tradnl"/>
        </w:rPr>
        <w:t>.</w:t>
      </w:r>
      <w:r w:rsidR="005D1E9C" w:rsidRPr="00F6066E">
        <w:rPr>
          <w:b/>
          <w:sz w:val="16"/>
          <w:szCs w:val="16"/>
          <w:lang w:val="es-ES_tradnl"/>
        </w:rPr>
        <w:t>N</w:t>
      </w:r>
      <w:r w:rsidRPr="00F6066E">
        <w:rPr>
          <w:b/>
          <w:sz w:val="16"/>
          <w:szCs w:val="16"/>
          <w:lang w:val="es-ES_tradnl"/>
        </w:rPr>
        <w:t>.)</w:t>
      </w:r>
      <w:r w:rsidRPr="00F927FB">
        <w:rPr>
          <w:sz w:val="16"/>
          <w:szCs w:val="16"/>
          <w:lang w:val="es-ES_tradnl"/>
        </w:rPr>
        <w:t xml:space="preserve"> </w:t>
      </w:r>
      <w:r w:rsidR="00EC242D" w:rsidRPr="00EC242D">
        <w:rPr>
          <w:sz w:val="16"/>
          <w:szCs w:val="16"/>
          <w:lang w:val="es-ES_tradnl"/>
        </w:rPr>
        <w:t xml:space="preserve">y deberá pagarse con cheque certificado a favor de Pensiones Civiles del Estado de Chihuahua, en el Departamento de Tesorería ubicado en la planta baja del edificio antes señalado, en días hábiles a partir  de la fecha de publicación y hasta el día </w:t>
      </w:r>
      <w:r w:rsidR="00A779F1">
        <w:rPr>
          <w:sz w:val="16"/>
          <w:szCs w:val="16"/>
          <w:lang w:val="es-ES_tradnl"/>
        </w:rPr>
        <w:t>24</w:t>
      </w:r>
      <w:r w:rsidR="00EC242D" w:rsidRPr="00EC242D">
        <w:rPr>
          <w:sz w:val="16"/>
          <w:szCs w:val="16"/>
          <w:lang w:val="es-ES_tradnl"/>
        </w:rPr>
        <w:t xml:space="preserve"> de </w:t>
      </w:r>
      <w:r w:rsidR="003C15B2">
        <w:rPr>
          <w:sz w:val="16"/>
          <w:szCs w:val="16"/>
          <w:lang w:val="es-ES_tradnl"/>
        </w:rPr>
        <w:t>diciembre</w:t>
      </w:r>
      <w:r w:rsidR="003C15B2" w:rsidRPr="00EC242D">
        <w:rPr>
          <w:sz w:val="16"/>
          <w:szCs w:val="16"/>
          <w:lang w:val="es-ES_tradnl"/>
        </w:rPr>
        <w:t xml:space="preserve"> </w:t>
      </w:r>
      <w:r w:rsidR="00EC242D" w:rsidRPr="00EC242D">
        <w:rPr>
          <w:sz w:val="16"/>
          <w:szCs w:val="16"/>
          <w:lang w:val="es-ES_tradnl"/>
        </w:rPr>
        <w:t>de 2018, con un horario de 9:00 a 14:00 horas, o bien, mediante depósito bancario en la institución bancaria BBVA Bancomer al número de cuenta clabe 012150004449469010 o cuenta número 0444946901.</w:t>
      </w:r>
      <w:r w:rsidR="00EC242D">
        <w:rPr>
          <w:sz w:val="16"/>
          <w:szCs w:val="16"/>
          <w:lang w:val="es-ES_tradnl"/>
        </w:rPr>
        <w:t xml:space="preserve"> </w:t>
      </w:r>
    </w:p>
    <w:p w:rsidR="00ED3E09" w:rsidRPr="00BB7EC5" w:rsidRDefault="00ED3E09" w:rsidP="008C5825">
      <w:pPr>
        <w:pStyle w:val="Textoindependiente3"/>
        <w:jc w:val="both"/>
        <w:rPr>
          <w:sz w:val="8"/>
          <w:szCs w:val="16"/>
          <w:lang w:val="es-ES_tradnl"/>
        </w:rPr>
      </w:pPr>
    </w:p>
    <w:p w:rsidR="008C5825" w:rsidRPr="00F927FB" w:rsidRDefault="00065100" w:rsidP="008C5825">
      <w:pPr>
        <w:pStyle w:val="Textoindependiente3"/>
        <w:jc w:val="both"/>
        <w:rPr>
          <w:sz w:val="16"/>
          <w:szCs w:val="16"/>
        </w:rPr>
      </w:pPr>
      <w:r w:rsidRPr="00F927FB">
        <w:rPr>
          <w:sz w:val="16"/>
          <w:szCs w:val="16"/>
        </w:rPr>
        <w:t xml:space="preserve">3.- </w:t>
      </w:r>
      <w:r w:rsidR="006F6629">
        <w:rPr>
          <w:sz w:val="16"/>
          <w:szCs w:val="16"/>
        </w:rPr>
        <w:t>El comprobante de pago de la participación en la licitación deberá contener los datos de la licitación de que se trata y la persona que desea participar</w:t>
      </w:r>
      <w:r w:rsidRPr="00F927FB">
        <w:rPr>
          <w:sz w:val="16"/>
          <w:szCs w:val="16"/>
        </w:rPr>
        <w:t>.</w:t>
      </w:r>
    </w:p>
    <w:p w:rsidR="008D5287" w:rsidRPr="00BB7EC5" w:rsidRDefault="008D5287" w:rsidP="003A5180">
      <w:pPr>
        <w:jc w:val="both"/>
        <w:rPr>
          <w:b/>
          <w:sz w:val="10"/>
          <w:szCs w:val="18"/>
        </w:rPr>
      </w:pPr>
    </w:p>
    <w:p w:rsidR="00F947DB" w:rsidRPr="001D5415" w:rsidRDefault="00513F3F" w:rsidP="003A5180">
      <w:pPr>
        <w:jc w:val="both"/>
        <w:rPr>
          <w:b/>
          <w:sz w:val="18"/>
          <w:szCs w:val="18"/>
        </w:rPr>
      </w:pPr>
      <w:r w:rsidRPr="001D5415">
        <w:rPr>
          <w:b/>
          <w:sz w:val="18"/>
          <w:szCs w:val="18"/>
        </w:rPr>
        <w:t>REQUISITOS</w:t>
      </w:r>
      <w:r w:rsidR="00F947DB" w:rsidRPr="001D5415">
        <w:rPr>
          <w:b/>
          <w:sz w:val="18"/>
          <w:szCs w:val="18"/>
        </w:rPr>
        <w:t>:</w:t>
      </w:r>
    </w:p>
    <w:p w:rsidR="00A54288" w:rsidRPr="00F927FB" w:rsidRDefault="0020791D" w:rsidP="004D6E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065100" w:rsidRPr="00F927FB">
        <w:rPr>
          <w:sz w:val="16"/>
          <w:szCs w:val="16"/>
        </w:rPr>
        <w:t xml:space="preserve">Las personas interesadas en participar en la presente licitación deberán </w:t>
      </w:r>
      <w:r w:rsidR="00F670B0">
        <w:rPr>
          <w:sz w:val="16"/>
          <w:szCs w:val="16"/>
        </w:rPr>
        <w:t>cubrir el costo de participación.</w:t>
      </w:r>
    </w:p>
    <w:p w:rsidR="0020791D" w:rsidRDefault="0020791D" w:rsidP="00550741">
      <w:p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2. </w:t>
      </w:r>
      <w:r w:rsidR="00F670B0">
        <w:rPr>
          <w:sz w:val="16"/>
          <w:szCs w:val="16"/>
          <w:lang w:val="es-ES"/>
        </w:rPr>
        <w:t xml:space="preserve">En el acto de presentación y </w:t>
      </w:r>
      <w:r w:rsidRPr="0020791D">
        <w:rPr>
          <w:sz w:val="16"/>
          <w:szCs w:val="16"/>
          <w:lang w:val="es-ES"/>
        </w:rPr>
        <w:t>apertura de propuestas,</w:t>
      </w:r>
      <w:r>
        <w:rPr>
          <w:sz w:val="16"/>
          <w:szCs w:val="16"/>
          <w:lang w:val="es-ES"/>
        </w:rPr>
        <w:t xml:space="preserve"> </w:t>
      </w:r>
      <w:r w:rsidRPr="0020791D">
        <w:rPr>
          <w:sz w:val="16"/>
          <w:szCs w:val="16"/>
          <w:lang w:val="es-ES"/>
        </w:rPr>
        <w:t xml:space="preserve">las personas licitantes </w:t>
      </w:r>
      <w:r>
        <w:rPr>
          <w:sz w:val="16"/>
          <w:szCs w:val="16"/>
          <w:lang w:val="es-ES"/>
        </w:rPr>
        <w:t xml:space="preserve">deberán </w:t>
      </w:r>
      <w:r w:rsidRPr="0020791D">
        <w:rPr>
          <w:sz w:val="16"/>
          <w:szCs w:val="16"/>
          <w:lang w:val="es-ES"/>
        </w:rPr>
        <w:t>present</w:t>
      </w:r>
      <w:r>
        <w:rPr>
          <w:sz w:val="16"/>
          <w:szCs w:val="16"/>
          <w:lang w:val="es-ES"/>
        </w:rPr>
        <w:t>ar</w:t>
      </w:r>
      <w:r w:rsidRPr="0020791D">
        <w:rPr>
          <w:sz w:val="16"/>
          <w:szCs w:val="16"/>
          <w:lang w:val="es-ES"/>
        </w:rPr>
        <w:t xml:space="preserve"> un escrito en el que su firmante manifieste, bajo</w:t>
      </w:r>
      <w:r>
        <w:rPr>
          <w:sz w:val="16"/>
          <w:szCs w:val="16"/>
          <w:lang w:val="es-ES"/>
        </w:rPr>
        <w:t xml:space="preserve"> </w:t>
      </w:r>
      <w:r w:rsidRPr="0020791D">
        <w:rPr>
          <w:sz w:val="16"/>
          <w:szCs w:val="16"/>
          <w:lang w:val="es-ES"/>
        </w:rPr>
        <w:t>protesta de decir verdad, que cuenta con facultades suficientes para comprometerse por sí o</w:t>
      </w:r>
      <w:r>
        <w:rPr>
          <w:sz w:val="16"/>
          <w:szCs w:val="16"/>
          <w:lang w:val="es-ES"/>
        </w:rPr>
        <w:t xml:space="preserve"> </w:t>
      </w:r>
      <w:r w:rsidRPr="0020791D">
        <w:rPr>
          <w:sz w:val="16"/>
          <w:szCs w:val="16"/>
          <w:lang w:val="es-ES"/>
        </w:rPr>
        <w:t>por su representada, sin que resulte necesario acreditar su personalidad jurídica</w:t>
      </w:r>
      <w:r>
        <w:rPr>
          <w:sz w:val="16"/>
          <w:szCs w:val="16"/>
          <w:lang w:val="es-ES"/>
        </w:rPr>
        <w:t xml:space="preserve">. </w:t>
      </w:r>
    </w:p>
    <w:p w:rsidR="0020791D" w:rsidRDefault="0020791D" w:rsidP="00550741">
      <w:p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3. Documentación financiera y fiscal que deberán presentar.</w:t>
      </w:r>
    </w:p>
    <w:p w:rsidR="007D6893" w:rsidRDefault="0020791D" w:rsidP="00550741">
      <w:pPr>
        <w:jc w:val="both"/>
        <w:rPr>
          <w:sz w:val="16"/>
          <w:szCs w:val="16"/>
        </w:rPr>
      </w:pPr>
      <w:r>
        <w:rPr>
          <w:sz w:val="16"/>
          <w:szCs w:val="16"/>
          <w:lang w:val="es-ES"/>
        </w:rPr>
        <w:t>* O</w:t>
      </w:r>
      <w:r w:rsidRPr="0020791D">
        <w:rPr>
          <w:sz w:val="16"/>
          <w:szCs w:val="16"/>
          <w:lang w:val="es-ES"/>
        </w:rPr>
        <w:t xml:space="preserve">riginal o copia certificada y copia simple </w:t>
      </w:r>
      <w:r>
        <w:rPr>
          <w:sz w:val="16"/>
          <w:szCs w:val="16"/>
          <w:lang w:val="es-ES"/>
        </w:rPr>
        <w:t xml:space="preserve">del Balance General y Estado de Resultados </w:t>
      </w:r>
      <w:r w:rsidR="002B2EF9" w:rsidRPr="002B2EF9">
        <w:rPr>
          <w:sz w:val="16"/>
          <w:szCs w:val="16"/>
        </w:rPr>
        <w:t>firmados por el Contador Público por el ejercicio 201</w:t>
      </w:r>
      <w:r>
        <w:rPr>
          <w:sz w:val="16"/>
          <w:szCs w:val="16"/>
        </w:rPr>
        <w:t>7</w:t>
      </w:r>
      <w:r w:rsidR="007D6893">
        <w:rPr>
          <w:sz w:val="16"/>
          <w:szCs w:val="16"/>
        </w:rPr>
        <w:t>.</w:t>
      </w:r>
    </w:p>
    <w:p w:rsidR="007D6893" w:rsidRDefault="007D6893" w:rsidP="005507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7D6893">
        <w:rPr>
          <w:sz w:val="16"/>
          <w:szCs w:val="16"/>
        </w:rPr>
        <w:t xml:space="preserve">Original o copia certificada y copia simple del Balance General y Estado de Resultados firmados por el Contador Público </w:t>
      </w:r>
      <w:r>
        <w:rPr>
          <w:sz w:val="16"/>
          <w:szCs w:val="16"/>
        </w:rPr>
        <w:t>correspondiente</w:t>
      </w:r>
      <w:r w:rsidR="00103019">
        <w:rPr>
          <w:sz w:val="16"/>
          <w:szCs w:val="16"/>
        </w:rPr>
        <w:t xml:space="preserve"> al acumulado del mes de </w:t>
      </w:r>
      <w:r w:rsidR="004E5AC7">
        <w:rPr>
          <w:sz w:val="16"/>
          <w:szCs w:val="16"/>
        </w:rPr>
        <w:t xml:space="preserve">septiembre </w:t>
      </w:r>
      <w:r>
        <w:rPr>
          <w:sz w:val="16"/>
          <w:szCs w:val="16"/>
        </w:rPr>
        <w:t xml:space="preserve">de 2018. </w:t>
      </w:r>
    </w:p>
    <w:p w:rsidR="007D6893" w:rsidRDefault="007D6893" w:rsidP="005507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Original o copia certificada y copia simple de </w:t>
      </w:r>
      <w:r w:rsidR="00DD0F24">
        <w:rPr>
          <w:sz w:val="16"/>
          <w:szCs w:val="16"/>
        </w:rPr>
        <w:t>la declaración anual del ISR</w:t>
      </w:r>
      <w:r w:rsidR="000741DE">
        <w:rPr>
          <w:sz w:val="16"/>
          <w:szCs w:val="16"/>
        </w:rPr>
        <w:t xml:space="preserve"> del ejercicio 201</w:t>
      </w:r>
      <w:r>
        <w:rPr>
          <w:sz w:val="16"/>
          <w:szCs w:val="16"/>
        </w:rPr>
        <w:t>7</w:t>
      </w:r>
      <w:r w:rsidR="006310CE">
        <w:rPr>
          <w:sz w:val="16"/>
          <w:szCs w:val="16"/>
        </w:rPr>
        <w:t xml:space="preserve">. </w:t>
      </w:r>
    </w:p>
    <w:p w:rsidR="00550741" w:rsidRDefault="007D6893" w:rsidP="004D6E75">
      <w:pPr>
        <w:jc w:val="both"/>
        <w:rPr>
          <w:sz w:val="16"/>
          <w:szCs w:val="16"/>
          <w:lang w:val="es-ES"/>
        </w:rPr>
      </w:pPr>
      <w:r>
        <w:rPr>
          <w:sz w:val="16"/>
          <w:szCs w:val="16"/>
        </w:rPr>
        <w:t xml:space="preserve">* </w:t>
      </w:r>
      <w:r w:rsidR="00550741">
        <w:rPr>
          <w:sz w:val="16"/>
          <w:szCs w:val="16"/>
          <w:lang w:val="es-ES"/>
        </w:rPr>
        <w:t xml:space="preserve">Acreditar </w:t>
      </w:r>
      <w:r w:rsidR="00EC242D">
        <w:rPr>
          <w:sz w:val="16"/>
          <w:szCs w:val="16"/>
          <w:lang w:val="es-ES"/>
        </w:rPr>
        <w:t>el</w:t>
      </w:r>
      <w:r w:rsidR="00550741">
        <w:rPr>
          <w:sz w:val="16"/>
          <w:szCs w:val="16"/>
          <w:lang w:val="es-ES"/>
        </w:rPr>
        <w:t xml:space="preserve"> capital contable</w:t>
      </w:r>
      <w:r w:rsidR="00D453D9">
        <w:rPr>
          <w:sz w:val="16"/>
          <w:szCs w:val="16"/>
          <w:lang w:val="es-ES"/>
        </w:rPr>
        <w:t xml:space="preserve"> </w:t>
      </w:r>
      <w:r w:rsidR="00550741">
        <w:rPr>
          <w:sz w:val="16"/>
          <w:szCs w:val="16"/>
          <w:lang w:val="es-ES"/>
        </w:rPr>
        <w:t xml:space="preserve">mínimo </w:t>
      </w:r>
      <w:r w:rsidR="00EC242D">
        <w:rPr>
          <w:sz w:val="16"/>
          <w:szCs w:val="16"/>
          <w:lang w:val="es-ES"/>
        </w:rPr>
        <w:t>que se establece en el “Anexo A”, “Anexo C” y “Anexo E”, dependiendo de la prestación de servicios subrogados en la que participe.</w:t>
      </w:r>
    </w:p>
    <w:p w:rsidR="00550741" w:rsidRDefault="007D6893" w:rsidP="007D6893">
      <w:p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4.</w:t>
      </w:r>
      <w:r w:rsidRPr="007D6893">
        <w:t xml:space="preserve"> </w:t>
      </w:r>
      <w:r w:rsidRPr="007D6893">
        <w:rPr>
          <w:sz w:val="16"/>
          <w:szCs w:val="16"/>
          <w:lang w:val="es-ES"/>
        </w:rPr>
        <w:t>Contar</w:t>
      </w:r>
      <w:r>
        <w:t xml:space="preserve"> </w:t>
      </w:r>
      <w:r w:rsidRPr="007D6893">
        <w:rPr>
          <w:sz w:val="16"/>
          <w:szCs w:val="16"/>
          <w:lang w:val="es-ES"/>
        </w:rPr>
        <w:t>con la constancia vigente del</w:t>
      </w:r>
      <w:r>
        <w:rPr>
          <w:sz w:val="16"/>
          <w:szCs w:val="16"/>
          <w:lang w:val="es-ES"/>
        </w:rPr>
        <w:t xml:space="preserve"> </w:t>
      </w:r>
      <w:r w:rsidRPr="007D6893">
        <w:rPr>
          <w:sz w:val="16"/>
          <w:szCs w:val="16"/>
          <w:lang w:val="es-ES"/>
        </w:rPr>
        <w:t>Padrón de Proveedores al momento de la contratación, así como entregar una declaración bajo protesta de decir verdad de no encontrarse</w:t>
      </w:r>
      <w:r>
        <w:rPr>
          <w:sz w:val="16"/>
          <w:szCs w:val="16"/>
          <w:lang w:val="es-ES"/>
        </w:rPr>
        <w:t xml:space="preserve"> </w:t>
      </w:r>
      <w:r w:rsidRPr="007D6893">
        <w:rPr>
          <w:sz w:val="16"/>
          <w:szCs w:val="16"/>
          <w:lang w:val="es-ES"/>
        </w:rPr>
        <w:t>en alguno de los supuestos establecidos por los artículos 86 y 103 de esta Ley</w:t>
      </w:r>
      <w:r>
        <w:rPr>
          <w:sz w:val="16"/>
          <w:szCs w:val="16"/>
          <w:lang w:val="es-ES"/>
        </w:rPr>
        <w:t xml:space="preserve"> de Adquisiciones, Arrendamientos y Contratación de Servicios del Estado de Chihuahua</w:t>
      </w:r>
      <w:r w:rsidRPr="007D6893">
        <w:rPr>
          <w:sz w:val="16"/>
          <w:szCs w:val="16"/>
          <w:lang w:val="es-ES"/>
        </w:rPr>
        <w:t>.</w:t>
      </w:r>
      <w:r>
        <w:rPr>
          <w:sz w:val="16"/>
          <w:szCs w:val="16"/>
          <w:lang w:val="es-ES"/>
        </w:rPr>
        <w:t xml:space="preserve"> </w:t>
      </w:r>
    </w:p>
    <w:p w:rsidR="00550741" w:rsidRDefault="007D6893" w:rsidP="00C567BC">
      <w:p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5. </w:t>
      </w:r>
      <w:r w:rsidR="0044651D">
        <w:rPr>
          <w:sz w:val="16"/>
          <w:szCs w:val="16"/>
          <w:lang w:val="es-ES"/>
        </w:rPr>
        <w:t xml:space="preserve">Los demás </w:t>
      </w:r>
      <w:r w:rsidR="00550741" w:rsidRPr="0024053D">
        <w:rPr>
          <w:sz w:val="16"/>
          <w:szCs w:val="16"/>
          <w:lang w:val="es-ES"/>
        </w:rPr>
        <w:t>requisitos señalados en las Bases Licitatorias.</w:t>
      </w:r>
    </w:p>
    <w:p w:rsidR="00102AAB" w:rsidRPr="00BB7EC5" w:rsidRDefault="00102AAB" w:rsidP="00C567BC">
      <w:pPr>
        <w:jc w:val="both"/>
        <w:rPr>
          <w:sz w:val="12"/>
          <w:szCs w:val="16"/>
          <w:lang w:val="es-ES"/>
        </w:rPr>
      </w:pPr>
    </w:p>
    <w:p w:rsidR="00185489" w:rsidRDefault="00102AAB" w:rsidP="00C567BC">
      <w:pPr>
        <w:jc w:val="both"/>
        <w:rPr>
          <w:sz w:val="16"/>
          <w:szCs w:val="16"/>
          <w:lang w:val="es-ES"/>
        </w:rPr>
      </w:pPr>
      <w:r w:rsidRPr="00185489">
        <w:rPr>
          <w:b/>
          <w:sz w:val="18"/>
          <w:szCs w:val="18"/>
          <w:lang w:val="es-ES"/>
        </w:rPr>
        <w:t xml:space="preserve">LUGAR DE </w:t>
      </w:r>
      <w:r w:rsidR="005B3BAF">
        <w:rPr>
          <w:b/>
          <w:sz w:val="18"/>
          <w:szCs w:val="18"/>
          <w:lang w:val="es-ES"/>
        </w:rPr>
        <w:t>PRESTACIÓN</w:t>
      </w:r>
      <w:r w:rsidRPr="00185489">
        <w:rPr>
          <w:b/>
          <w:sz w:val="18"/>
          <w:szCs w:val="18"/>
          <w:lang w:val="es-ES"/>
        </w:rPr>
        <w:t xml:space="preserve"> DE LOS </w:t>
      </w:r>
      <w:r w:rsidR="005B3BAF">
        <w:rPr>
          <w:b/>
          <w:sz w:val="18"/>
          <w:szCs w:val="18"/>
          <w:lang w:val="es-ES"/>
        </w:rPr>
        <w:t>SERVICIOS</w:t>
      </w:r>
      <w:r w:rsidRPr="00185489">
        <w:rPr>
          <w:b/>
          <w:sz w:val="18"/>
          <w:szCs w:val="18"/>
          <w:lang w:val="es-ES"/>
        </w:rPr>
        <w:t xml:space="preserve"> </w:t>
      </w:r>
      <w:r w:rsidRPr="00AC0959">
        <w:rPr>
          <w:b/>
          <w:sz w:val="18"/>
          <w:szCs w:val="18"/>
          <w:lang w:val="es-ES"/>
        </w:rPr>
        <w:t>Y FORMA DE PAGO:</w:t>
      </w:r>
    </w:p>
    <w:p w:rsidR="00883CF2" w:rsidRDefault="004E5AC7" w:rsidP="00C567BC">
      <w:pPr>
        <w:jc w:val="both"/>
        <w:rPr>
          <w:sz w:val="16"/>
          <w:szCs w:val="16"/>
          <w:lang w:val="es-ES"/>
        </w:rPr>
      </w:pPr>
      <w:r w:rsidRPr="004E5AC7">
        <w:rPr>
          <w:sz w:val="16"/>
          <w:szCs w:val="16"/>
          <w:lang w:val="es-ES"/>
        </w:rPr>
        <w:t xml:space="preserve">El licitante que resulte ganador deberá prestar el servicio de acuerdo a las condiciones que establezca la Convocante por conducto de la División de Servicios </w:t>
      </w:r>
      <w:r w:rsidR="00EC242D">
        <w:rPr>
          <w:sz w:val="16"/>
          <w:szCs w:val="16"/>
          <w:lang w:val="es-ES"/>
        </w:rPr>
        <w:t>Subrogados</w:t>
      </w:r>
      <w:r w:rsidRPr="004E5AC7">
        <w:rPr>
          <w:sz w:val="16"/>
          <w:szCs w:val="16"/>
          <w:lang w:val="es-ES"/>
        </w:rPr>
        <w:t>, de conformidad con las características, requerimientos, condiciones y lugares que se establecen en el “Anexo A</w:t>
      </w:r>
      <w:r w:rsidR="00EC242D">
        <w:rPr>
          <w:sz w:val="16"/>
          <w:szCs w:val="16"/>
          <w:lang w:val="es-ES"/>
        </w:rPr>
        <w:t>”, “Anexo C</w:t>
      </w:r>
      <w:r w:rsidRPr="004E5AC7">
        <w:rPr>
          <w:sz w:val="16"/>
          <w:szCs w:val="16"/>
          <w:lang w:val="es-ES"/>
        </w:rPr>
        <w:t>”</w:t>
      </w:r>
      <w:r w:rsidR="00EC242D">
        <w:rPr>
          <w:sz w:val="16"/>
          <w:szCs w:val="16"/>
          <w:lang w:val="es-ES"/>
        </w:rPr>
        <w:t xml:space="preserve"> y “Anexo E”</w:t>
      </w:r>
      <w:r w:rsidRPr="004E5AC7">
        <w:rPr>
          <w:sz w:val="16"/>
          <w:szCs w:val="16"/>
          <w:lang w:val="es-ES"/>
        </w:rPr>
        <w:t xml:space="preserve"> de las presentes bases rectoras de la licitación pública presencial, quedando estipulada como fecha de inicio el día 1° de enero de 2019 y como fecha de conclusión el día 31 de diciembre de 2019.</w:t>
      </w:r>
    </w:p>
    <w:p w:rsidR="004E5AC7" w:rsidRPr="00BB7EC5" w:rsidRDefault="004E5AC7" w:rsidP="00C567BC">
      <w:pPr>
        <w:jc w:val="both"/>
        <w:rPr>
          <w:sz w:val="12"/>
          <w:szCs w:val="16"/>
          <w:lang w:val="es-ES"/>
        </w:rPr>
      </w:pPr>
    </w:p>
    <w:p w:rsidR="004E5AC7" w:rsidRDefault="00682392" w:rsidP="00C567BC">
      <w:p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En la presente licitación no se otorgará anticipo. </w:t>
      </w:r>
      <w:r w:rsidR="004E5AC7" w:rsidRPr="004E5AC7">
        <w:rPr>
          <w:sz w:val="16"/>
          <w:szCs w:val="16"/>
          <w:lang w:val="es-ES"/>
        </w:rPr>
        <w:t>Los pagos se realizarán  dentro de los 20 días hábiles siguientes a la presentación de las facturas que cumplan con los requisitos establecidos en el Artículo 29-A del Código Fiscal de la Federación</w:t>
      </w:r>
      <w:r w:rsidR="004E5AC7">
        <w:rPr>
          <w:sz w:val="16"/>
          <w:szCs w:val="16"/>
          <w:lang w:val="es-ES"/>
        </w:rPr>
        <w:t>, previa prestación de los servicio en los términos establecido</w:t>
      </w:r>
      <w:r w:rsidR="00BB7EC5">
        <w:rPr>
          <w:sz w:val="16"/>
          <w:szCs w:val="16"/>
          <w:lang w:val="es-ES"/>
        </w:rPr>
        <w:t>s</w:t>
      </w:r>
      <w:r w:rsidR="004E5AC7">
        <w:rPr>
          <w:sz w:val="16"/>
          <w:szCs w:val="16"/>
          <w:lang w:val="es-ES"/>
        </w:rPr>
        <w:t xml:space="preserve"> en el contrato.</w:t>
      </w:r>
    </w:p>
    <w:p w:rsidR="004E5AC7" w:rsidRPr="00BB7EC5" w:rsidRDefault="004E5AC7" w:rsidP="00C567BC">
      <w:pPr>
        <w:jc w:val="both"/>
        <w:rPr>
          <w:b/>
          <w:sz w:val="10"/>
          <w:szCs w:val="18"/>
        </w:rPr>
      </w:pPr>
      <w:r>
        <w:rPr>
          <w:b/>
          <w:sz w:val="18"/>
          <w:szCs w:val="18"/>
        </w:rPr>
        <w:t xml:space="preserve"> </w:t>
      </w:r>
    </w:p>
    <w:p w:rsidR="00BC203B" w:rsidRPr="001D5415" w:rsidRDefault="00C567BC" w:rsidP="00C567BC">
      <w:pPr>
        <w:jc w:val="both"/>
        <w:rPr>
          <w:sz w:val="18"/>
          <w:szCs w:val="18"/>
        </w:rPr>
      </w:pPr>
      <w:r w:rsidRPr="001D5415">
        <w:rPr>
          <w:b/>
          <w:sz w:val="18"/>
          <w:szCs w:val="18"/>
        </w:rPr>
        <w:t>GENERALIDADES</w:t>
      </w:r>
      <w:r w:rsidR="00060484" w:rsidRPr="001D5415">
        <w:rPr>
          <w:b/>
          <w:sz w:val="18"/>
          <w:szCs w:val="18"/>
        </w:rPr>
        <w:t>:</w:t>
      </w:r>
    </w:p>
    <w:p w:rsidR="00884ECD" w:rsidRDefault="00884ECD" w:rsidP="00C567BC">
      <w:pPr>
        <w:jc w:val="both"/>
        <w:rPr>
          <w:sz w:val="16"/>
          <w:szCs w:val="16"/>
        </w:rPr>
      </w:pPr>
      <w:r>
        <w:rPr>
          <w:sz w:val="16"/>
          <w:szCs w:val="16"/>
        </w:rPr>
        <w:t>Las propuestas deberán ser presentadas en idioma español.</w:t>
      </w:r>
    </w:p>
    <w:p w:rsidR="00884ECD" w:rsidRPr="00BB7EC5" w:rsidRDefault="00884ECD" w:rsidP="00C567BC">
      <w:pPr>
        <w:jc w:val="both"/>
        <w:rPr>
          <w:sz w:val="12"/>
          <w:szCs w:val="16"/>
        </w:rPr>
      </w:pPr>
    </w:p>
    <w:p w:rsidR="00884ECD" w:rsidRDefault="00884ECD" w:rsidP="00C567BC">
      <w:pPr>
        <w:jc w:val="both"/>
        <w:rPr>
          <w:sz w:val="16"/>
          <w:szCs w:val="16"/>
        </w:rPr>
      </w:pPr>
      <w:r>
        <w:rPr>
          <w:sz w:val="16"/>
          <w:szCs w:val="16"/>
        </w:rPr>
        <w:t>Al finalizar el acto de presentación y apertura de propuestas se fijará el día, lugar y la hora en que se emitirá el fallo adjudicatorio.</w:t>
      </w:r>
    </w:p>
    <w:p w:rsidR="00C567BC" w:rsidRPr="00F927FB" w:rsidRDefault="00065100" w:rsidP="00C567BC">
      <w:pPr>
        <w:jc w:val="both"/>
        <w:rPr>
          <w:sz w:val="16"/>
          <w:szCs w:val="16"/>
        </w:rPr>
      </w:pPr>
      <w:r w:rsidRPr="00F927FB">
        <w:rPr>
          <w:sz w:val="16"/>
          <w:szCs w:val="16"/>
        </w:rPr>
        <w:t>La adjudicación se hará al proveedor que</w:t>
      </w:r>
      <w:r w:rsidR="00884ECD">
        <w:rPr>
          <w:sz w:val="16"/>
          <w:szCs w:val="16"/>
        </w:rPr>
        <w:t xml:space="preserve"> cumpla</w:t>
      </w:r>
      <w:r w:rsidRPr="00F927FB">
        <w:rPr>
          <w:sz w:val="16"/>
          <w:szCs w:val="16"/>
        </w:rPr>
        <w:t xml:space="preserve"> con los requisitos establecidos en la convocatoria y las bases, haga la propuesta solvente con el precio más bajo y, además, garantice satisfactoriamente el cumplimiento del Contrato.</w:t>
      </w:r>
    </w:p>
    <w:p w:rsidR="00C567BC" w:rsidRPr="00BB7EC5" w:rsidRDefault="00C567BC" w:rsidP="00C567BC">
      <w:pPr>
        <w:jc w:val="both"/>
        <w:rPr>
          <w:sz w:val="12"/>
          <w:szCs w:val="16"/>
        </w:rPr>
      </w:pPr>
    </w:p>
    <w:p w:rsidR="00927DA0" w:rsidRPr="00F927FB" w:rsidRDefault="00065100" w:rsidP="00D34327">
      <w:pPr>
        <w:jc w:val="both"/>
        <w:rPr>
          <w:sz w:val="16"/>
          <w:szCs w:val="16"/>
        </w:rPr>
      </w:pPr>
      <w:r w:rsidRPr="00F927FB">
        <w:rPr>
          <w:sz w:val="16"/>
          <w:szCs w:val="16"/>
        </w:rPr>
        <w:t xml:space="preserve">Lo no previsto en esta convocatoria o sus bases será resuelto por </w:t>
      </w:r>
      <w:r w:rsidR="00884ECD">
        <w:rPr>
          <w:sz w:val="16"/>
          <w:szCs w:val="16"/>
        </w:rPr>
        <w:t xml:space="preserve">la Ley de la materia o por el </w:t>
      </w:r>
      <w:r w:rsidRPr="00F927FB">
        <w:rPr>
          <w:sz w:val="16"/>
          <w:szCs w:val="16"/>
        </w:rPr>
        <w:t>Comité de Adquisiciones, Arrendamientos</w:t>
      </w:r>
      <w:r w:rsidR="00D83BF1">
        <w:rPr>
          <w:sz w:val="16"/>
          <w:szCs w:val="16"/>
        </w:rPr>
        <w:t xml:space="preserve"> y</w:t>
      </w:r>
      <w:r w:rsidRPr="00F927FB">
        <w:rPr>
          <w:sz w:val="16"/>
          <w:szCs w:val="16"/>
        </w:rPr>
        <w:t xml:space="preserve"> Contratación de Servicios </w:t>
      </w:r>
      <w:r w:rsidR="00884ECD">
        <w:rPr>
          <w:sz w:val="16"/>
          <w:szCs w:val="16"/>
        </w:rPr>
        <w:t>de Pensiones Civiles del Estado de Chihuahua</w:t>
      </w:r>
      <w:r w:rsidRPr="00F927FB">
        <w:rPr>
          <w:sz w:val="16"/>
          <w:szCs w:val="16"/>
        </w:rPr>
        <w:t>.</w:t>
      </w:r>
    </w:p>
    <w:p w:rsidR="00D34327" w:rsidRPr="001D5415" w:rsidRDefault="00D34327" w:rsidP="00D34327">
      <w:pPr>
        <w:jc w:val="both"/>
        <w:rPr>
          <w:sz w:val="18"/>
          <w:szCs w:val="18"/>
        </w:rPr>
      </w:pPr>
    </w:p>
    <w:p w:rsidR="00C53E95" w:rsidRPr="001D5415" w:rsidRDefault="00DD2519" w:rsidP="00A54288">
      <w:pPr>
        <w:jc w:val="center"/>
        <w:rPr>
          <w:b/>
          <w:sz w:val="18"/>
          <w:szCs w:val="18"/>
        </w:rPr>
      </w:pPr>
      <w:r w:rsidRPr="001D5415">
        <w:rPr>
          <w:b/>
          <w:sz w:val="18"/>
          <w:szCs w:val="18"/>
        </w:rPr>
        <w:t>CHIHUAHUA, CHIH.,</w:t>
      </w:r>
      <w:r w:rsidR="00A54288" w:rsidRPr="001D5415">
        <w:rPr>
          <w:b/>
          <w:sz w:val="18"/>
          <w:szCs w:val="18"/>
        </w:rPr>
        <w:t xml:space="preserve"> </w:t>
      </w:r>
      <w:r w:rsidR="00D83BF1">
        <w:rPr>
          <w:b/>
          <w:sz w:val="18"/>
          <w:szCs w:val="18"/>
        </w:rPr>
        <w:t xml:space="preserve">A </w:t>
      </w:r>
      <w:r w:rsidR="003C15B2">
        <w:rPr>
          <w:b/>
          <w:sz w:val="18"/>
          <w:szCs w:val="18"/>
        </w:rPr>
        <w:t>15</w:t>
      </w:r>
      <w:r w:rsidR="00D0358D" w:rsidRPr="00884ECD">
        <w:rPr>
          <w:b/>
          <w:sz w:val="18"/>
          <w:szCs w:val="18"/>
        </w:rPr>
        <w:t xml:space="preserve"> DE </w:t>
      </w:r>
      <w:r w:rsidR="003C15B2">
        <w:rPr>
          <w:b/>
          <w:sz w:val="18"/>
          <w:szCs w:val="18"/>
        </w:rPr>
        <w:t>DICIEMBRE</w:t>
      </w:r>
      <w:r w:rsidR="004E5AC7" w:rsidRPr="00884ECD">
        <w:rPr>
          <w:b/>
          <w:sz w:val="18"/>
          <w:szCs w:val="18"/>
        </w:rPr>
        <w:t xml:space="preserve"> </w:t>
      </w:r>
      <w:r w:rsidR="008B0B29" w:rsidRPr="00884ECD">
        <w:rPr>
          <w:b/>
          <w:sz w:val="18"/>
          <w:szCs w:val="18"/>
        </w:rPr>
        <w:t>DE 201</w:t>
      </w:r>
      <w:r w:rsidR="00F6066E">
        <w:rPr>
          <w:b/>
          <w:sz w:val="18"/>
          <w:szCs w:val="18"/>
        </w:rPr>
        <w:t>8</w:t>
      </w:r>
    </w:p>
    <w:p w:rsidR="00C567BC" w:rsidRPr="001D5415" w:rsidRDefault="00C567BC" w:rsidP="00A54288">
      <w:pPr>
        <w:jc w:val="center"/>
        <w:rPr>
          <w:b/>
          <w:sz w:val="18"/>
          <w:szCs w:val="18"/>
        </w:rPr>
      </w:pPr>
      <w:r w:rsidRPr="001D5415">
        <w:rPr>
          <w:b/>
          <w:sz w:val="18"/>
          <w:szCs w:val="18"/>
        </w:rPr>
        <w:t xml:space="preserve">EL PRESIDENTE DEL COMITÉ DE ADQUISICIONES, ARRENDAMIENTOS </w:t>
      </w:r>
    </w:p>
    <w:p w:rsidR="00903AC0" w:rsidRDefault="00C567BC" w:rsidP="00A54288">
      <w:pPr>
        <w:jc w:val="center"/>
        <w:rPr>
          <w:b/>
          <w:sz w:val="18"/>
          <w:szCs w:val="18"/>
        </w:rPr>
      </w:pPr>
      <w:r w:rsidRPr="001D5415">
        <w:rPr>
          <w:b/>
          <w:sz w:val="18"/>
          <w:szCs w:val="18"/>
        </w:rPr>
        <w:t>Y SERVICIOS DE PENSIONES CIVILES DEL ESTADO DE CHIHUAHUA</w:t>
      </w:r>
      <w:r w:rsidR="00482947">
        <w:rPr>
          <w:b/>
          <w:sz w:val="18"/>
          <w:szCs w:val="18"/>
        </w:rPr>
        <w:t xml:space="preserve"> </w:t>
      </w:r>
    </w:p>
    <w:p w:rsidR="00CD799D" w:rsidRDefault="00CD799D" w:rsidP="00A54288">
      <w:pPr>
        <w:jc w:val="center"/>
        <w:rPr>
          <w:b/>
          <w:sz w:val="18"/>
          <w:szCs w:val="18"/>
        </w:rPr>
      </w:pPr>
    </w:p>
    <w:p w:rsidR="00CD799D" w:rsidRDefault="00CD799D" w:rsidP="00A54288">
      <w:pPr>
        <w:jc w:val="center"/>
        <w:rPr>
          <w:b/>
          <w:sz w:val="18"/>
          <w:szCs w:val="18"/>
        </w:rPr>
      </w:pPr>
    </w:p>
    <w:p w:rsidR="002F7254" w:rsidRDefault="002F7254" w:rsidP="00A54288">
      <w:pPr>
        <w:jc w:val="center"/>
        <w:rPr>
          <w:b/>
          <w:sz w:val="18"/>
          <w:szCs w:val="18"/>
        </w:rPr>
      </w:pPr>
    </w:p>
    <w:p w:rsidR="006B66D6" w:rsidRDefault="006B66D6" w:rsidP="00A54288">
      <w:pPr>
        <w:jc w:val="center"/>
        <w:rPr>
          <w:b/>
          <w:sz w:val="18"/>
          <w:szCs w:val="18"/>
        </w:rPr>
      </w:pPr>
    </w:p>
    <w:p w:rsidR="008E230E" w:rsidRPr="008E230E" w:rsidRDefault="00647BD3" w:rsidP="00932A79">
      <w:pPr>
        <w:jc w:val="center"/>
        <w:rPr>
          <w:sz w:val="16"/>
          <w:szCs w:val="16"/>
        </w:rPr>
      </w:pPr>
      <w:r>
        <w:rPr>
          <w:b/>
          <w:sz w:val="18"/>
          <w:szCs w:val="18"/>
        </w:rPr>
        <w:t xml:space="preserve">C.P. </w:t>
      </w:r>
      <w:r w:rsidR="00A333B5">
        <w:rPr>
          <w:b/>
          <w:sz w:val="18"/>
          <w:szCs w:val="18"/>
        </w:rPr>
        <w:t>JOSÉ</w:t>
      </w:r>
      <w:r w:rsidR="00435060">
        <w:rPr>
          <w:b/>
          <w:sz w:val="18"/>
          <w:szCs w:val="18"/>
        </w:rPr>
        <w:t xml:space="preserve"> FRANCISCO ALMANZA ALARCÓN</w:t>
      </w:r>
    </w:p>
    <w:sectPr w:rsidR="008E230E" w:rsidRPr="008E230E" w:rsidSect="004E5AC7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5450E"/>
    <w:rsid w:val="00031752"/>
    <w:rsid w:val="00032ECD"/>
    <w:rsid w:val="00046C68"/>
    <w:rsid w:val="000553A3"/>
    <w:rsid w:val="00060484"/>
    <w:rsid w:val="00065100"/>
    <w:rsid w:val="00066A39"/>
    <w:rsid w:val="00072AF0"/>
    <w:rsid w:val="00072EDB"/>
    <w:rsid w:val="000741DE"/>
    <w:rsid w:val="00083B49"/>
    <w:rsid w:val="00091019"/>
    <w:rsid w:val="0009208B"/>
    <w:rsid w:val="000A3788"/>
    <w:rsid w:val="000B676A"/>
    <w:rsid w:val="000C3375"/>
    <w:rsid w:val="000C5E4A"/>
    <w:rsid w:val="000C6CFB"/>
    <w:rsid w:val="000D053B"/>
    <w:rsid w:val="000E03DD"/>
    <w:rsid w:val="000E253C"/>
    <w:rsid w:val="000E4A0E"/>
    <w:rsid w:val="000F0AC6"/>
    <w:rsid w:val="000F5278"/>
    <w:rsid w:val="00102AAB"/>
    <w:rsid w:val="00103019"/>
    <w:rsid w:val="0010492B"/>
    <w:rsid w:val="00106BF9"/>
    <w:rsid w:val="00124FE0"/>
    <w:rsid w:val="00125906"/>
    <w:rsid w:val="00126E15"/>
    <w:rsid w:val="001361FA"/>
    <w:rsid w:val="00150F16"/>
    <w:rsid w:val="00151259"/>
    <w:rsid w:val="0016242E"/>
    <w:rsid w:val="00177195"/>
    <w:rsid w:val="00177864"/>
    <w:rsid w:val="001818C9"/>
    <w:rsid w:val="00184616"/>
    <w:rsid w:val="00185489"/>
    <w:rsid w:val="001A0345"/>
    <w:rsid w:val="001A21B3"/>
    <w:rsid w:val="001A757B"/>
    <w:rsid w:val="001C26A4"/>
    <w:rsid w:val="001C6B6B"/>
    <w:rsid w:val="001D49DC"/>
    <w:rsid w:val="001D5415"/>
    <w:rsid w:val="001D55E9"/>
    <w:rsid w:val="001E5B3B"/>
    <w:rsid w:val="001F1BCF"/>
    <w:rsid w:val="001F45B3"/>
    <w:rsid w:val="002022BB"/>
    <w:rsid w:val="002036A2"/>
    <w:rsid w:val="0020791D"/>
    <w:rsid w:val="00216A33"/>
    <w:rsid w:val="002248D5"/>
    <w:rsid w:val="002303CD"/>
    <w:rsid w:val="00230786"/>
    <w:rsid w:val="00237A8A"/>
    <w:rsid w:val="0024053D"/>
    <w:rsid w:val="00243CFB"/>
    <w:rsid w:val="00256BE4"/>
    <w:rsid w:val="00267132"/>
    <w:rsid w:val="0027323C"/>
    <w:rsid w:val="0027377E"/>
    <w:rsid w:val="00280D6C"/>
    <w:rsid w:val="0028269F"/>
    <w:rsid w:val="00287E2D"/>
    <w:rsid w:val="00292EA7"/>
    <w:rsid w:val="002A29C3"/>
    <w:rsid w:val="002A4648"/>
    <w:rsid w:val="002B2EF9"/>
    <w:rsid w:val="002D45CD"/>
    <w:rsid w:val="002D636B"/>
    <w:rsid w:val="002F4784"/>
    <w:rsid w:val="002F5CB0"/>
    <w:rsid w:val="002F66B9"/>
    <w:rsid w:val="002F7254"/>
    <w:rsid w:val="0031064A"/>
    <w:rsid w:val="003113B4"/>
    <w:rsid w:val="00325D6B"/>
    <w:rsid w:val="00331F8E"/>
    <w:rsid w:val="003341FA"/>
    <w:rsid w:val="00342C19"/>
    <w:rsid w:val="00351636"/>
    <w:rsid w:val="00355D42"/>
    <w:rsid w:val="00362AEA"/>
    <w:rsid w:val="0036763F"/>
    <w:rsid w:val="00377F35"/>
    <w:rsid w:val="0038666D"/>
    <w:rsid w:val="003A5180"/>
    <w:rsid w:val="003A6DD0"/>
    <w:rsid w:val="003A6FC9"/>
    <w:rsid w:val="003B0D6E"/>
    <w:rsid w:val="003C15B2"/>
    <w:rsid w:val="003C717B"/>
    <w:rsid w:val="003D2E5A"/>
    <w:rsid w:val="003D637A"/>
    <w:rsid w:val="003F688E"/>
    <w:rsid w:val="003F6E0F"/>
    <w:rsid w:val="00400AA1"/>
    <w:rsid w:val="0040241F"/>
    <w:rsid w:val="00413465"/>
    <w:rsid w:val="00415FB8"/>
    <w:rsid w:val="00417376"/>
    <w:rsid w:val="00421E4C"/>
    <w:rsid w:val="00422836"/>
    <w:rsid w:val="0042336F"/>
    <w:rsid w:val="00425C1A"/>
    <w:rsid w:val="00435060"/>
    <w:rsid w:val="0044005E"/>
    <w:rsid w:val="00441DB4"/>
    <w:rsid w:val="0044651D"/>
    <w:rsid w:val="00473E8B"/>
    <w:rsid w:val="004817FC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E5AC7"/>
    <w:rsid w:val="004F0708"/>
    <w:rsid w:val="004F41DB"/>
    <w:rsid w:val="00503A94"/>
    <w:rsid w:val="00513F3F"/>
    <w:rsid w:val="00530ECC"/>
    <w:rsid w:val="0053269A"/>
    <w:rsid w:val="00550741"/>
    <w:rsid w:val="00557096"/>
    <w:rsid w:val="00561130"/>
    <w:rsid w:val="005632E6"/>
    <w:rsid w:val="00573358"/>
    <w:rsid w:val="00587EC4"/>
    <w:rsid w:val="0059072D"/>
    <w:rsid w:val="00593283"/>
    <w:rsid w:val="005A6417"/>
    <w:rsid w:val="005B3BAF"/>
    <w:rsid w:val="005B434B"/>
    <w:rsid w:val="005B626E"/>
    <w:rsid w:val="005C1B13"/>
    <w:rsid w:val="005D0421"/>
    <w:rsid w:val="005D1E9C"/>
    <w:rsid w:val="005E33EC"/>
    <w:rsid w:val="005E5E75"/>
    <w:rsid w:val="005F0E50"/>
    <w:rsid w:val="005F6740"/>
    <w:rsid w:val="00602F78"/>
    <w:rsid w:val="00605498"/>
    <w:rsid w:val="00617F58"/>
    <w:rsid w:val="006206A9"/>
    <w:rsid w:val="00623D5C"/>
    <w:rsid w:val="006279F4"/>
    <w:rsid w:val="006307E2"/>
    <w:rsid w:val="006310CE"/>
    <w:rsid w:val="0063561F"/>
    <w:rsid w:val="00637A2C"/>
    <w:rsid w:val="00647BD3"/>
    <w:rsid w:val="00647F19"/>
    <w:rsid w:val="0065051E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2B1D"/>
    <w:rsid w:val="006B3473"/>
    <w:rsid w:val="006B66D6"/>
    <w:rsid w:val="006B7FBD"/>
    <w:rsid w:val="006F2F9E"/>
    <w:rsid w:val="006F6629"/>
    <w:rsid w:val="00700A10"/>
    <w:rsid w:val="00704A54"/>
    <w:rsid w:val="00723DBA"/>
    <w:rsid w:val="007358C3"/>
    <w:rsid w:val="00737050"/>
    <w:rsid w:val="00737A1C"/>
    <w:rsid w:val="007425C8"/>
    <w:rsid w:val="00743E80"/>
    <w:rsid w:val="00745FB9"/>
    <w:rsid w:val="0074645F"/>
    <w:rsid w:val="007475AF"/>
    <w:rsid w:val="00770829"/>
    <w:rsid w:val="00780057"/>
    <w:rsid w:val="00784074"/>
    <w:rsid w:val="00786EF6"/>
    <w:rsid w:val="00791126"/>
    <w:rsid w:val="007A0427"/>
    <w:rsid w:val="007A455D"/>
    <w:rsid w:val="007A529D"/>
    <w:rsid w:val="007A5B28"/>
    <w:rsid w:val="007B1CC0"/>
    <w:rsid w:val="007B26B8"/>
    <w:rsid w:val="007B6C0A"/>
    <w:rsid w:val="007C4751"/>
    <w:rsid w:val="007D6893"/>
    <w:rsid w:val="007E0274"/>
    <w:rsid w:val="007E1E08"/>
    <w:rsid w:val="007E5C40"/>
    <w:rsid w:val="007E6DA0"/>
    <w:rsid w:val="008018CE"/>
    <w:rsid w:val="00805854"/>
    <w:rsid w:val="00806728"/>
    <w:rsid w:val="008116BE"/>
    <w:rsid w:val="0081348B"/>
    <w:rsid w:val="0082315F"/>
    <w:rsid w:val="00823DC0"/>
    <w:rsid w:val="00837AA9"/>
    <w:rsid w:val="0085622C"/>
    <w:rsid w:val="008571D2"/>
    <w:rsid w:val="00857251"/>
    <w:rsid w:val="008770AD"/>
    <w:rsid w:val="008801CD"/>
    <w:rsid w:val="00881F88"/>
    <w:rsid w:val="00883CF2"/>
    <w:rsid w:val="00884ECD"/>
    <w:rsid w:val="0089570F"/>
    <w:rsid w:val="00897625"/>
    <w:rsid w:val="008976F7"/>
    <w:rsid w:val="008A290C"/>
    <w:rsid w:val="008A4BEF"/>
    <w:rsid w:val="008A5235"/>
    <w:rsid w:val="008B0B29"/>
    <w:rsid w:val="008B250B"/>
    <w:rsid w:val="008B38FE"/>
    <w:rsid w:val="008B4D91"/>
    <w:rsid w:val="008B5EAD"/>
    <w:rsid w:val="008B7B11"/>
    <w:rsid w:val="008C5825"/>
    <w:rsid w:val="008D5287"/>
    <w:rsid w:val="008D67F7"/>
    <w:rsid w:val="008E230E"/>
    <w:rsid w:val="008E6158"/>
    <w:rsid w:val="008E76F2"/>
    <w:rsid w:val="00903AC0"/>
    <w:rsid w:val="00910558"/>
    <w:rsid w:val="009244FB"/>
    <w:rsid w:val="00926780"/>
    <w:rsid w:val="00927DA0"/>
    <w:rsid w:val="00930124"/>
    <w:rsid w:val="00931986"/>
    <w:rsid w:val="00932A79"/>
    <w:rsid w:val="00933CD8"/>
    <w:rsid w:val="0094551E"/>
    <w:rsid w:val="0095278B"/>
    <w:rsid w:val="00956DE9"/>
    <w:rsid w:val="00957B90"/>
    <w:rsid w:val="009615EB"/>
    <w:rsid w:val="009639A9"/>
    <w:rsid w:val="009640C2"/>
    <w:rsid w:val="009710CC"/>
    <w:rsid w:val="00973B0F"/>
    <w:rsid w:val="00977767"/>
    <w:rsid w:val="00984A3B"/>
    <w:rsid w:val="00990270"/>
    <w:rsid w:val="0099183B"/>
    <w:rsid w:val="009A5424"/>
    <w:rsid w:val="009A7486"/>
    <w:rsid w:val="009B1F20"/>
    <w:rsid w:val="009B548A"/>
    <w:rsid w:val="009D1D6B"/>
    <w:rsid w:val="00A006D9"/>
    <w:rsid w:val="00A00F14"/>
    <w:rsid w:val="00A052E1"/>
    <w:rsid w:val="00A15333"/>
    <w:rsid w:val="00A153C1"/>
    <w:rsid w:val="00A21D24"/>
    <w:rsid w:val="00A22051"/>
    <w:rsid w:val="00A23880"/>
    <w:rsid w:val="00A333B5"/>
    <w:rsid w:val="00A34437"/>
    <w:rsid w:val="00A50513"/>
    <w:rsid w:val="00A54288"/>
    <w:rsid w:val="00A564E7"/>
    <w:rsid w:val="00A645BA"/>
    <w:rsid w:val="00A66B72"/>
    <w:rsid w:val="00A740E3"/>
    <w:rsid w:val="00A764E4"/>
    <w:rsid w:val="00A779F1"/>
    <w:rsid w:val="00A802AC"/>
    <w:rsid w:val="00A947AF"/>
    <w:rsid w:val="00AA7BA6"/>
    <w:rsid w:val="00AB2E2F"/>
    <w:rsid w:val="00AB2EE2"/>
    <w:rsid w:val="00AC0644"/>
    <w:rsid w:val="00AC0959"/>
    <w:rsid w:val="00AC0E59"/>
    <w:rsid w:val="00AC3994"/>
    <w:rsid w:val="00AC4ECB"/>
    <w:rsid w:val="00AC7E3A"/>
    <w:rsid w:val="00AE25EB"/>
    <w:rsid w:val="00AE262D"/>
    <w:rsid w:val="00AF69CE"/>
    <w:rsid w:val="00AF75C0"/>
    <w:rsid w:val="00B25771"/>
    <w:rsid w:val="00B305F9"/>
    <w:rsid w:val="00B30DF0"/>
    <w:rsid w:val="00B401E8"/>
    <w:rsid w:val="00B427AE"/>
    <w:rsid w:val="00B53E5D"/>
    <w:rsid w:val="00B616CD"/>
    <w:rsid w:val="00B64058"/>
    <w:rsid w:val="00B651BE"/>
    <w:rsid w:val="00B70B9E"/>
    <w:rsid w:val="00B767BC"/>
    <w:rsid w:val="00B82EAF"/>
    <w:rsid w:val="00B8521C"/>
    <w:rsid w:val="00B87735"/>
    <w:rsid w:val="00BB0685"/>
    <w:rsid w:val="00BB2D22"/>
    <w:rsid w:val="00BB7EC5"/>
    <w:rsid w:val="00BC203B"/>
    <w:rsid w:val="00BF1086"/>
    <w:rsid w:val="00BF1F3A"/>
    <w:rsid w:val="00BF244D"/>
    <w:rsid w:val="00C20BF2"/>
    <w:rsid w:val="00C21129"/>
    <w:rsid w:val="00C2449E"/>
    <w:rsid w:val="00C34609"/>
    <w:rsid w:val="00C53E95"/>
    <w:rsid w:val="00C567BC"/>
    <w:rsid w:val="00C72930"/>
    <w:rsid w:val="00C759BE"/>
    <w:rsid w:val="00C7745F"/>
    <w:rsid w:val="00C879B5"/>
    <w:rsid w:val="00C908CA"/>
    <w:rsid w:val="00C9319E"/>
    <w:rsid w:val="00CB73A5"/>
    <w:rsid w:val="00CC3EF8"/>
    <w:rsid w:val="00CC5702"/>
    <w:rsid w:val="00CD799D"/>
    <w:rsid w:val="00CE77E4"/>
    <w:rsid w:val="00D0358D"/>
    <w:rsid w:val="00D078A8"/>
    <w:rsid w:val="00D24CEE"/>
    <w:rsid w:val="00D25E7B"/>
    <w:rsid w:val="00D309DB"/>
    <w:rsid w:val="00D34327"/>
    <w:rsid w:val="00D35A4F"/>
    <w:rsid w:val="00D453D9"/>
    <w:rsid w:val="00D50287"/>
    <w:rsid w:val="00D536A1"/>
    <w:rsid w:val="00D625A4"/>
    <w:rsid w:val="00D712FF"/>
    <w:rsid w:val="00D71B72"/>
    <w:rsid w:val="00D82504"/>
    <w:rsid w:val="00D82C42"/>
    <w:rsid w:val="00D83BF1"/>
    <w:rsid w:val="00DA2944"/>
    <w:rsid w:val="00DA2C50"/>
    <w:rsid w:val="00DA4867"/>
    <w:rsid w:val="00DB0EBE"/>
    <w:rsid w:val="00DC09C2"/>
    <w:rsid w:val="00DD0F24"/>
    <w:rsid w:val="00DD2519"/>
    <w:rsid w:val="00DD3AFB"/>
    <w:rsid w:val="00DE7499"/>
    <w:rsid w:val="00DF19CD"/>
    <w:rsid w:val="00DF2D93"/>
    <w:rsid w:val="00DF5B98"/>
    <w:rsid w:val="00E10DB4"/>
    <w:rsid w:val="00E232A8"/>
    <w:rsid w:val="00E23CE8"/>
    <w:rsid w:val="00E24925"/>
    <w:rsid w:val="00E32058"/>
    <w:rsid w:val="00E4645F"/>
    <w:rsid w:val="00E4755B"/>
    <w:rsid w:val="00E51D12"/>
    <w:rsid w:val="00E5450E"/>
    <w:rsid w:val="00E55937"/>
    <w:rsid w:val="00E56366"/>
    <w:rsid w:val="00E620C1"/>
    <w:rsid w:val="00E6706F"/>
    <w:rsid w:val="00E7590F"/>
    <w:rsid w:val="00E8280D"/>
    <w:rsid w:val="00E832F3"/>
    <w:rsid w:val="00E875B6"/>
    <w:rsid w:val="00E9667B"/>
    <w:rsid w:val="00E97920"/>
    <w:rsid w:val="00EA2CBD"/>
    <w:rsid w:val="00EB4BF2"/>
    <w:rsid w:val="00EC242D"/>
    <w:rsid w:val="00ED3E09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066E"/>
    <w:rsid w:val="00F645DF"/>
    <w:rsid w:val="00F670B0"/>
    <w:rsid w:val="00F817A1"/>
    <w:rsid w:val="00F83C08"/>
    <w:rsid w:val="00F927FB"/>
    <w:rsid w:val="00F947DB"/>
    <w:rsid w:val="00F96E45"/>
    <w:rsid w:val="00FB0371"/>
    <w:rsid w:val="00FB4B2B"/>
    <w:rsid w:val="00FC64E2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14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00F14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A00F1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00F14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00F14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A00F14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A00F14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931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1986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C75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.chihuahua.gob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7185-CF10-4548-B586-1F318D37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dortegam</dc:creator>
  <cp:lastModifiedBy>tgonzalez</cp:lastModifiedBy>
  <cp:revision>8</cp:revision>
  <cp:lastPrinted>2018-12-13T21:55:00Z</cp:lastPrinted>
  <dcterms:created xsi:type="dcterms:W3CDTF">2018-12-12T17:17:00Z</dcterms:created>
  <dcterms:modified xsi:type="dcterms:W3CDTF">2018-12-13T22:34:00Z</dcterms:modified>
</cp:coreProperties>
</file>